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6C214" w14:textId="2890505F" w:rsidR="00FD704C" w:rsidRPr="00FD704C" w:rsidRDefault="00FD704C" w:rsidP="00611274">
      <w:pPr>
        <w:spacing w:after="0" w:line="240" w:lineRule="auto"/>
        <w:rPr>
          <w:b/>
          <w:bCs/>
          <w:u w:val="single"/>
        </w:rPr>
      </w:pPr>
      <w:r>
        <w:rPr>
          <w:b/>
          <w:bCs/>
          <w:u w:val="single"/>
        </w:rPr>
        <w:t>GPRA SURVEYS</w:t>
      </w:r>
    </w:p>
    <w:p w14:paraId="5155F0D2" w14:textId="77777777" w:rsidR="00FD704C" w:rsidRDefault="00FD704C" w:rsidP="00611274">
      <w:pPr>
        <w:spacing w:after="0" w:line="240" w:lineRule="auto"/>
        <w:rPr>
          <w:b/>
          <w:bCs/>
          <w:i/>
          <w:iCs/>
        </w:rPr>
      </w:pPr>
    </w:p>
    <w:p w14:paraId="2264CA3F" w14:textId="52172430" w:rsidR="001E4558" w:rsidRDefault="00B1257B" w:rsidP="00611274">
      <w:pPr>
        <w:spacing w:after="0" w:line="240" w:lineRule="auto"/>
      </w:pPr>
      <w:r w:rsidRPr="00B1257B">
        <w:rPr>
          <w:b/>
          <w:bCs/>
          <w:i/>
          <w:iCs/>
        </w:rPr>
        <w:t>Intake GPRAs.</w:t>
      </w:r>
      <w:r>
        <w:t xml:space="preserve"> </w:t>
      </w:r>
      <w:r w:rsidR="00611274">
        <w:t xml:space="preserve">In Year 3, a total of 44 intake GPRAs were completed with 36 </w:t>
      </w:r>
      <w:r>
        <w:t xml:space="preserve">unique new </w:t>
      </w:r>
      <w:r w:rsidR="00611274">
        <w:t>clients and 8 returning clients</w:t>
      </w:r>
      <w:r>
        <w:t xml:space="preserve"> from previous years.</w:t>
      </w:r>
      <w:r w:rsidR="001E4558">
        <w:t xml:space="preserve">  Demographic data are presented in Table 1 below.</w:t>
      </w:r>
    </w:p>
    <w:p w14:paraId="5D3DDE62" w14:textId="4B8C4E58" w:rsidR="001E4558" w:rsidRDefault="001E4558" w:rsidP="00611274">
      <w:pPr>
        <w:spacing w:after="0" w:line="240" w:lineRule="auto"/>
      </w:pPr>
    </w:p>
    <w:p w14:paraId="60A658C3" w14:textId="222AD364" w:rsidR="001E4558" w:rsidRPr="001E4558" w:rsidRDefault="001E4558" w:rsidP="00C530EC">
      <w:pPr>
        <w:spacing w:after="0" w:line="240" w:lineRule="auto"/>
        <w:jc w:val="center"/>
        <w:rPr>
          <w:b/>
          <w:bCs/>
        </w:rPr>
      </w:pPr>
      <w:r w:rsidRPr="001E4558">
        <w:rPr>
          <w:b/>
          <w:bCs/>
        </w:rPr>
        <w:t>Table 1. Characteristics of Clients Enrolled in Year 3 (</w:t>
      </w:r>
      <w:r w:rsidRPr="001E4558">
        <w:rPr>
          <w:b/>
          <w:bCs/>
          <w:i/>
          <w:iCs/>
        </w:rPr>
        <w:t>n</w:t>
      </w:r>
      <w:r w:rsidRPr="001E4558">
        <w:rPr>
          <w:b/>
          <w:bCs/>
        </w:rPr>
        <w:t xml:space="preserve"> = 44)</w:t>
      </w:r>
    </w:p>
    <w:tbl>
      <w:tblPr>
        <w:tblStyle w:val="TableGrid"/>
        <w:tblW w:w="0" w:type="auto"/>
        <w:jc w:val="center"/>
        <w:tblLook w:val="04A0" w:firstRow="1" w:lastRow="0" w:firstColumn="1" w:lastColumn="0" w:noHBand="0" w:noVBand="1"/>
      </w:tblPr>
      <w:tblGrid>
        <w:gridCol w:w="4315"/>
        <w:gridCol w:w="990"/>
        <w:gridCol w:w="990"/>
      </w:tblGrid>
      <w:tr w:rsidR="001E4558" w14:paraId="57F735B1" w14:textId="77777777" w:rsidTr="00C530EC">
        <w:trPr>
          <w:jc w:val="center"/>
        </w:trPr>
        <w:tc>
          <w:tcPr>
            <w:tcW w:w="4315" w:type="dxa"/>
            <w:shd w:val="clear" w:color="auto" w:fill="627D77" w:themeFill="background2"/>
          </w:tcPr>
          <w:p w14:paraId="3C54F7A1" w14:textId="21F928C7" w:rsidR="001E4558" w:rsidRPr="00FD704C" w:rsidRDefault="001E4558" w:rsidP="00623062">
            <w:pPr>
              <w:jc w:val="center"/>
              <w:rPr>
                <w:b/>
                <w:bCs/>
                <w:color w:val="FFFFFF" w:themeColor="background1"/>
              </w:rPr>
            </w:pPr>
            <w:r w:rsidRPr="00FD704C">
              <w:rPr>
                <w:b/>
                <w:bCs/>
                <w:color w:val="FFFFFF" w:themeColor="background1"/>
              </w:rPr>
              <w:t>Demographic Variable</w:t>
            </w:r>
          </w:p>
        </w:tc>
        <w:tc>
          <w:tcPr>
            <w:tcW w:w="990" w:type="dxa"/>
            <w:shd w:val="clear" w:color="auto" w:fill="627D77" w:themeFill="background2"/>
          </w:tcPr>
          <w:p w14:paraId="22ACA658" w14:textId="39394087" w:rsidR="001E4558" w:rsidRPr="00222E10" w:rsidRDefault="00222E10" w:rsidP="00623062">
            <w:pPr>
              <w:jc w:val="center"/>
              <w:rPr>
                <w:b/>
                <w:bCs/>
                <w:i/>
                <w:iCs/>
                <w:color w:val="FFFFFF" w:themeColor="background1"/>
              </w:rPr>
            </w:pPr>
            <w:r w:rsidRPr="00222E10">
              <w:rPr>
                <w:b/>
                <w:bCs/>
                <w:i/>
                <w:iCs/>
                <w:color w:val="FFFFFF" w:themeColor="background1"/>
              </w:rPr>
              <w:t>n</w:t>
            </w:r>
          </w:p>
        </w:tc>
        <w:tc>
          <w:tcPr>
            <w:tcW w:w="990" w:type="dxa"/>
            <w:shd w:val="clear" w:color="auto" w:fill="627D77" w:themeFill="background2"/>
          </w:tcPr>
          <w:p w14:paraId="5476430D" w14:textId="45A1D544" w:rsidR="001E4558" w:rsidRPr="00FD704C" w:rsidRDefault="001E4558" w:rsidP="00623062">
            <w:pPr>
              <w:jc w:val="center"/>
              <w:rPr>
                <w:b/>
                <w:bCs/>
                <w:color w:val="FFFFFF" w:themeColor="background1"/>
              </w:rPr>
            </w:pPr>
            <w:r w:rsidRPr="00FD704C">
              <w:rPr>
                <w:b/>
                <w:bCs/>
                <w:color w:val="FFFFFF" w:themeColor="background1"/>
              </w:rPr>
              <w:t>%</w:t>
            </w:r>
          </w:p>
        </w:tc>
      </w:tr>
      <w:tr w:rsidR="001E4558" w14:paraId="5E72DEB5" w14:textId="77777777" w:rsidTr="00C530EC">
        <w:trPr>
          <w:jc w:val="center"/>
        </w:trPr>
        <w:tc>
          <w:tcPr>
            <w:tcW w:w="4315" w:type="dxa"/>
          </w:tcPr>
          <w:p w14:paraId="1ED77CF0" w14:textId="0ABD3D7C" w:rsidR="001E4558" w:rsidRDefault="001E4558" w:rsidP="00623062">
            <w:r w:rsidRPr="00FD704C">
              <w:rPr>
                <w:b/>
                <w:bCs/>
              </w:rPr>
              <w:t>Gender</w:t>
            </w:r>
            <w:r>
              <w:br/>
              <w:t xml:space="preserve">     Female</w:t>
            </w:r>
          </w:p>
          <w:p w14:paraId="41D3BDB0" w14:textId="40196F60" w:rsidR="001E4558" w:rsidRDefault="001E4558" w:rsidP="00623062">
            <w:r>
              <w:t xml:space="preserve">     Transgender</w:t>
            </w:r>
          </w:p>
        </w:tc>
        <w:tc>
          <w:tcPr>
            <w:tcW w:w="990" w:type="dxa"/>
          </w:tcPr>
          <w:p w14:paraId="78BDF171" w14:textId="77777777" w:rsidR="001E4558" w:rsidRDefault="001E4558" w:rsidP="00623062">
            <w:pPr>
              <w:jc w:val="center"/>
            </w:pPr>
          </w:p>
          <w:p w14:paraId="219A2BCB" w14:textId="77777777" w:rsidR="00CC4417" w:rsidRDefault="00CC4417" w:rsidP="00623062">
            <w:pPr>
              <w:jc w:val="center"/>
            </w:pPr>
            <w:r>
              <w:t>43</w:t>
            </w:r>
          </w:p>
          <w:p w14:paraId="7320E279" w14:textId="328EE1F7" w:rsidR="00CC4417" w:rsidRDefault="00CC4417" w:rsidP="00623062">
            <w:pPr>
              <w:jc w:val="center"/>
            </w:pPr>
            <w:r>
              <w:t>1</w:t>
            </w:r>
          </w:p>
        </w:tc>
        <w:tc>
          <w:tcPr>
            <w:tcW w:w="990" w:type="dxa"/>
          </w:tcPr>
          <w:p w14:paraId="6D124A79" w14:textId="77777777" w:rsidR="001E4558" w:rsidRDefault="001E4558" w:rsidP="00623062">
            <w:pPr>
              <w:jc w:val="center"/>
            </w:pPr>
          </w:p>
          <w:p w14:paraId="42F52E01" w14:textId="77777777" w:rsidR="00CC4417" w:rsidRDefault="00CC4417" w:rsidP="00623062">
            <w:pPr>
              <w:jc w:val="center"/>
            </w:pPr>
            <w:r>
              <w:t>97.7</w:t>
            </w:r>
          </w:p>
          <w:p w14:paraId="4F9D3E7B" w14:textId="003BBB10" w:rsidR="00CC4417" w:rsidRDefault="00CC4417" w:rsidP="00623062">
            <w:pPr>
              <w:jc w:val="center"/>
            </w:pPr>
            <w:r>
              <w:t>2.3</w:t>
            </w:r>
          </w:p>
        </w:tc>
      </w:tr>
      <w:tr w:rsidR="001E4558" w14:paraId="289F6BBF" w14:textId="77777777" w:rsidTr="00C530EC">
        <w:trPr>
          <w:jc w:val="center"/>
        </w:trPr>
        <w:tc>
          <w:tcPr>
            <w:tcW w:w="4315" w:type="dxa"/>
          </w:tcPr>
          <w:p w14:paraId="32233EC2" w14:textId="18EC732C" w:rsidR="001E4558" w:rsidRPr="00FD704C" w:rsidRDefault="00CC4417" w:rsidP="00623062">
            <w:pPr>
              <w:rPr>
                <w:b/>
                <w:bCs/>
              </w:rPr>
            </w:pPr>
            <w:r w:rsidRPr="00FD704C">
              <w:rPr>
                <w:b/>
                <w:bCs/>
              </w:rPr>
              <w:t>Age Group</w:t>
            </w:r>
          </w:p>
          <w:p w14:paraId="0CE1738D" w14:textId="77777777" w:rsidR="00CC4417" w:rsidRDefault="00CC4417" w:rsidP="00623062">
            <w:r>
              <w:t xml:space="preserve">     18 to 24</w:t>
            </w:r>
          </w:p>
          <w:p w14:paraId="06643F11" w14:textId="77777777" w:rsidR="00CC4417" w:rsidRDefault="00CC4417" w:rsidP="00623062">
            <w:r>
              <w:t xml:space="preserve">     25 to 34</w:t>
            </w:r>
          </w:p>
          <w:p w14:paraId="77D6A06A" w14:textId="22CC3265" w:rsidR="00CC4417" w:rsidRDefault="00CC4417" w:rsidP="00623062">
            <w:r>
              <w:t xml:space="preserve">     35 to 44</w:t>
            </w:r>
          </w:p>
        </w:tc>
        <w:tc>
          <w:tcPr>
            <w:tcW w:w="990" w:type="dxa"/>
          </w:tcPr>
          <w:p w14:paraId="75A7314D" w14:textId="77777777" w:rsidR="001E4558" w:rsidRDefault="001E4558" w:rsidP="00623062">
            <w:pPr>
              <w:jc w:val="center"/>
            </w:pPr>
          </w:p>
          <w:p w14:paraId="14CEEA56" w14:textId="77777777" w:rsidR="00CC4417" w:rsidRDefault="00CC4417" w:rsidP="00623062">
            <w:pPr>
              <w:jc w:val="center"/>
            </w:pPr>
            <w:r>
              <w:t>3</w:t>
            </w:r>
          </w:p>
          <w:p w14:paraId="5EAF1ECF" w14:textId="77777777" w:rsidR="00CC4417" w:rsidRDefault="00CC4417" w:rsidP="00623062">
            <w:pPr>
              <w:jc w:val="center"/>
            </w:pPr>
            <w:r>
              <w:t>23</w:t>
            </w:r>
          </w:p>
          <w:p w14:paraId="7FD4FA77" w14:textId="00BF96AB" w:rsidR="00CC4417" w:rsidRDefault="00CC4417" w:rsidP="00623062">
            <w:pPr>
              <w:jc w:val="center"/>
            </w:pPr>
            <w:r>
              <w:t>18</w:t>
            </w:r>
          </w:p>
        </w:tc>
        <w:tc>
          <w:tcPr>
            <w:tcW w:w="990" w:type="dxa"/>
          </w:tcPr>
          <w:p w14:paraId="1C64170C" w14:textId="77777777" w:rsidR="001E4558" w:rsidRDefault="001E4558" w:rsidP="00623062">
            <w:pPr>
              <w:jc w:val="center"/>
            </w:pPr>
          </w:p>
          <w:p w14:paraId="4F67A0F9" w14:textId="77777777" w:rsidR="00CC4417" w:rsidRDefault="00CC4417" w:rsidP="00623062">
            <w:pPr>
              <w:jc w:val="center"/>
            </w:pPr>
            <w:r>
              <w:t>6.8</w:t>
            </w:r>
          </w:p>
          <w:p w14:paraId="64866FB7" w14:textId="77777777" w:rsidR="00CC4417" w:rsidRDefault="00CC4417" w:rsidP="00623062">
            <w:pPr>
              <w:jc w:val="center"/>
            </w:pPr>
            <w:r>
              <w:t>52.3</w:t>
            </w:r>
          </w:p>
          <w:p w14:paraId="2899A017" w14:textId="0DAC77B3" w:rsidR="00CC4417" w:rsidRDefault="00CC4417" w:rsidP="00623062">
            <w:pPr>
              <w:jc w:val="center"/>
            </w:pPr>
            <w:r>
              <w:t>40.9</w:t>
            </w:r>
          </w:p>
        </w:tc>
      </w:tr>
      <w:tr w:rsidR="001E4558" w14:paraId="167EB54F" w14:textId="77777777" w:rsidTr="00C530EC">
        <w:trPr>
          <w:jc w:val="center"/>
        </w:trPr>
        <w:tc>
          <w:tcPr>
            <w:tcW w:w="4315" w:type="dxa"/>
          </w:tcPr>
          <w:p w14:paraId="06F54C9E" w14:textId="54C02FC7" w:rsidR="001E4558" w:rsidRDefault="00CC4417" w:rsidP="00623062">
            <w:r>
              <w:t>Employed full- or part-time</w:t>
            </w:r>
          </w:p>
        </w:tc>
        <w:tc>
          <w:tcPr>
            <w:tcW w:w="990" w:type="dxa"/>
          </w:tcPr>
          <w:p w14:paraId="0B88EECB" w14:textId="6F18C289" w:rsidR="001E4558" w:rsidRDefault="00CC4417" w:rsidP="00623062">
            <w:pPr>
              <w:jc w:val="center"/>
            </w:pPr>
            <w:r>
              <w:t>3</w:t>
            </w:r>
          </w:p>
        </w:tc>
        <w:tc>
          <w:tcPr>
            <w:tcW w:w="990" w:type="dxa"/>
          </w:tcPr>
          <w:p w14:paraId="1F3D875D" w14:textId="46424CC0" w:rsidR="001E4558" w:rsidRDefault="00CC4417" w:rsidP="00623062">
            <w:pPr>
              <w:jc w:val="center"/>
            </w:pPr>
            <w:r>
              <w:t>6.8</w:t>
            </w:r>
          </w:p>
        </w:tc>
      </w:tr>
      <w:tr w:rsidR="001E4558" w14:paraId="16CC9D16" w14:textId="77777777" w:rsidTr="00C530EC">
        <w:trPr>
          <w:jc w:val="center"/>
        </w:trPr>
        <w:tc>
          <w:tcPr>
            <w:tcW w:w="4315" w:type="dxa"/>
          </w:tcPr>
          <w:p w14:paraId="15FE45DC" w14:textId="68FDBA77" w:rsidR="001E4558" w:rsidRDefault="00CC4417" w:rsidP="00623062">
            <w:r>
              <w:t>Hispanic or Latinx</w:t>
            </w:r>
          </w:p>
        </w:tc>
        <w:tc>
          <w:tcPr>
            <w:tcW w:w="990" w:type="dxa"/>
          </w:tcPr>
          <w:p w14:paraId="56CAB833" w14:textId="68E7512D" w:rsidR="001E4558" w:rsidRDefault="00CC4417" w:rsidP="00623062">
            <w:pPr>
              <w:jc w:val="center"/>
            </w:pPr>
            <w:r>
              <w:t>8</w:t>
            </w:r>
          </w:p>
        </w:tc>
        <w:tc>
          <w:tcPr>
            <w:tcW w:w="990" w:type="dxa"/>
          </w:tcPr>
          <w:p w14:paraId="3A096DF8" w14:textId="3CA38CCD" w:rsidR="001E4558" w:rsidRDefault="00CC4417" w:rsidP="00623062">
            <w:pPr>
              <w:jc w:val="center"/>
            </w:pPr>
            <w:r>
              <w:t>18.2</w:t>
            </w:r>
          </w:p>
        </w:tc>
      </w:tr>
      <w:tr w:rsidR="001E4558" w14:paraId="1B26458F" w14:textId="77777777" w:rsidTr="00C530EC">
        <w:trPr>
          <w:jc w:val="center"/>
        </w:trPr>
        <w:tc>
          <w:tcPr>
            <w:tcW w:w="4315" w:type="dxa"/>
          </w:tcPr>
          <w:p w14:paraId="4E2591B2" w14:textId="4DC366FE" w:rsidR="001E4558" w:rsidRPr="00FD704C" w:rsidRDefault="00CC4417" w:rsidP="00623062">
            <w:pPr>
              <w:rPr>
                <w:b/>
                <w:bCs/>
              </w:rPr>
            </w:pPr>
            <w:r w:rsidRPr="00FD704C">
              <w:rPr>
                <w:b/>
                <w:bCs/>
              </w:rPr>
              <w:t>Race (</w:t>
            </w:r>
            <w:r w:rsidRPr="00FD704C">
              <w:rPr>
                <w:b/>
                <w:bCs/>
                <w:i/>
                <w:iCs/>
              </w:rPr>
              <w:t>n</w:t>
            </w:r>
            <w:r w:rsidRPr="00FD704C">
              <w:rPr>
                <w:b/>
                <w:bCs/>
              </w:rPr>
              <w:t xml:space="preserve"> = 38)</w:t>
            </w:r>
          </w:p>
          <w:p w14:paraId="6882C0C3" w14:textId="7EC02B7D" w:rsidR="00CC4417" w:rsidRDefault="00CC4417" w:rsidP="00623062">
            <w:r>
              <w:t xml:space="preserve">     Black</w:t>
            </w:r>
          </w:p>
          <w:p w14:paraId="2D514EC6" w14:textId="4D530A4A" w:rsidR="00CC4417" w:rsidRDefault="00CC4417" w:rsidP="00623062">
            <w:r>
              <w:t xml:space="preserve">     Native Hawaiian or Other Pacific Islander</w:t>
            </w:r>
          </w:p>
          <w:p w14:paraId="42B30E3D" w14:textId="65DA3215" w:rsidR="00CC4417" w:rsidRDefault="00CC4417" w:rsidP="00623062">
            <w:r>
              <w:t xml:space="preserve">     White</w:t>
            </w:r>
          </w:p>
        </w:tc>
        <w:tc>
          <w:tcPr>
            <w:tcW w:w="990" w:type="dxa"/>
          </w:tcPr>
          <w:p w14:paraId="79468970" w14:textId="77777777" w:rsidR="001E4558" w:rsidRDefault="001E4558" w:rsidP="00623062">
            <w:pPr>
              <w:jc w:val="center"/>
            </w:pPr>
          </w:p>
          <w:p w14:paraId="0BA10FAE" w14:textId="77777777" w:rsidR="00CC4417" w:rsidRDefault="00CC4417" w:rsidP="00623062">
            <w:pPr>
              <w:jc w:val="center"/>
            </w:pPr>
            <w:r>
              <w:t>21</w:t>
            </w:r>
          </w:p>
          <w:p w14:paraId="14F33312" w14:textId="77777777" w:rsidR="00CC4417" w:rsidRDefault="00CC4417" w:rsidP="00623062">
            <w:pPr>
              <w:jc w:val="center"/>
            </w:pPr>
            <w:r>
              <w:t>1</w:t>
            </w:r>
          </w:p>
          <w:p w14:paraId="6A360B4E" w14:textId="48B09E1A" w:rsidR="00CC4417" w:rsidRDefault="00CC4417" w:rsidP="00623062">
            <w:pPr>
              <w:jc w:val="center"/>
            </w:pPr>
            <w:r>
              <w:t>16</w:t>
            </w:r>
          </w:p>
        </w:tc>
        <w:tc>
          <w:tcPr>
            <w:tcW w:w="990" w:type="dxa"/>
          </w:tcPr>
          <w:p w14:paraId="3A50EBEF" w14:textId="77777777" w:rsidR="001E4558" w:rsidRDefault="001E4558" w:rsidP="00623062">
            <w:pPr>
              <w:jc w:val="center"/>
            </w:pPr>
          </w:p>
          <w:p w14:paraId="15E30026" w14:textId="77777777" w:rsidR="00CC4417" w:rsidRDefault="00CC4417" w:rsidP="00623062">
            <w:pPr>
              <w:jc w:val="center"/>
            </w:pPr>
            <w:r>
              <w:t>47.7</w:t>
            </w:r>
          </w:p>
          <w:p w14:paraId="482F184B" w14:textId="77777777" w:rsidR="00CC4417" w:rsidRDefault="00CC4417" w:rsidP="00623062">
            <w:pPr>
              <w:jc w:val="center"/>
            </w:pPr>
            <w:r>
              <w:t>2.3</w:t>
            </w:r>
          </w:p>
          <w:p w14:paraId="365CA4AD" w14:textId="47AA7220" w:rsidR="00CC4417" w:rsidRDefault="00CC4417" w:rsidP="00623062">
            <w:pPr>
              <w:jc w:val="center"/>
            </w:pPr>
            <w:r>
              <w:t>36.4</w:t>
            </w:r>
          </w:p>
        </w:tc>
      </w:tr>
      <w:tr w:rsidR="001E4558" w14:paraId="19F3EA55" w14:textId="77777777" w:rsidTr="00C530EC">
        <w:trPr>
          <w:jc w:val="center"/>
        </w:trPr>
        <w:tc>
          <w:tcPr>
            <w:tcW w:w="4315" w:type="dxa"/>
          </w:tcPr>
          <w:p w14:paraId="57DBFA3C" w14:textId="77777777" w:rsidR="001E4558" w:rsidRPr="00FD704C" w:rsidRDefault="00623062" w:rsidP="00623062">
            <w:pPr>
              <w:rPr>
                <w:b/>
                <w:bCs/>
              </w:rPr>
            </w:pPr>
            <w:r w:rsidRPr="00FD704C">
              <w:rPr>
                <w:b/>
                <w:bCs/>
              </w:rPr>
              <w:t>High level of education received</w:t>
            </w:r>
          </w:p>
          <w:p w14:paraId="0576DA71" w14:textId="7CF89B38" w:rsidR="00623062" w:rsidRDefault="00623062" w:rsidP="00623062">
            <w:r>
              <w:t xml:space="preserve">     Did not finish high school</w:t>
            </w:r>
          </w:p>
          <w:p w14:paraId="75F42419" w14:textId="77777777" w:rsidR="00623062" w:rsidRDefault="00623062" w:rsidP="00623062">
            <w:r>
              <w:t xml:space="preserve">     High school or equivalent</w:t>
            </w:r>
          </w:p>
          <w:p w14:paraId="27265CEA" w14:textId="77777777" w:rsidR="00623062" w:rsidRDefault="00623062" w:rsidP="00623062">
            <w:r>
              <w:t xml:space="preserve">     College 1</w:t>
            </w:r>
            <w:r w:rsidRPr="00623062">
              <w:rPr>
                <w:vertAlign w:val="superscript"/>
              </w:rPr>
              <w:t>st</w:t>
            </w:r>
            <w:r>
              <w:t xml:space="preserve"> year completed</w:t>
            </w:r>
          </w:p>
          <w:p w14:paraId="26474815" w14:textId="783210AB" w:rsidR="00623062" w:rsidRDefault="00623062" w:rsidP="00623062">
            <w:r>
              <w:t xml:space="preserve">     Associates degree</w:t>
            </w:r>
          </w:p>
        </w:tc>
        <w:tc>
          <w:tcPr>
            <w:tcW w:w="990" w:type="dxa"/>
          </w:tcPr>
          <w:p w14:paraId="2082B85E" w14:textId="77777777" w:rsidR="001E4558" w:rsidRDefault="001E4558" w:rsidP="00623062">
            <w:pPr>
              <w:jc w:val="center"/>
            </w:pPr>
          </w:p>
          <w:p w14:paraId="7A2B2AAB" w14:textId="3A195387" w:rsidR="00623062" w:rsidRDefault="00623062" w:rsidP="00623062">
            <w:pPr>
              <w:jc w:val="center"/>
            </w:pPr>
            <w:r>
              <w:t>20</w:t>
            </w:r>
          </w:p>
          <w:p w14:paraId="78A63B81" w14:textId="730045DE" w:rsidR="00623062" w:rsidRDefault="00623062" w:rsidP="00623062">
            <w:pPr>
              <w:jc w:val="center"/>
            </w:pPr>
            <w:r>
              <w:t>14</w:t>
            </w:r>
          </w:p>
          <w:p w14:paraId="6C855540" w14:textId="585C77DB" w:rsidR="00623062" w:rsidRDefault="00623062" w:rsidP="00623062">
            <w:pPr>
              <w:jc w:val="center"/>
            </w:pPr>
            <w:r>
              <w:t>8</w:t>
            </w:r>
          </w:p>
          <w:p w14:paraId="17A50BE6" w14:textId="73A9416C" w:rsidR="00623062" w:rsidRDefault="00623062" w:rsidP="00623062">
            <w:pPr>
              <w:jc w:val="center"/>
            </w:pPr>
            <w:r>
              <w:t>2</w:t>
            </w:r>
          </w:p>
        </w:tc>
        <w:tc>
          <w:tcPr>
            <w:tcW w:w="990" w:type="dxa"/>
          </w:tcPr>
          <w:p w14:paraId="3A846269" w14:textId="77777777" w:rsidR="001E4558" w:rsidRDefault="001E4558" w:rsidP="00623062">
            <w:pPr>
              <w:jc w:val="center"/>
            </w:pPr>
          </w:p>
          <w:p w14:paraId="55FAB8C8" w14:textId="77777777" w:rsidR="00623062" w:rsidRDefault="00623062" w:rsidP="00623062">
            <w:pPr>
              <w:jc w:val="center"/>
            </w:pPr>
            <w:r>
              <w:t>45.5</w:t>
            </w:r>
          </w:p>
          <w:p w14:paraId="75AFE512" w14:textId="77777777" w:rsidR="00623062" w:rsidRDefault="00623062" w:rsidP="00623062">
            <w:pPr>
              <w:jc w:val="center"/>
            </w:pPr>
            <w:r>
              <w:t>31.8</w:t>
            </w:r>
          </w:p>
          <w:p w14:paraId="4217D8B7" w14:textId="77777777" w:rsidR="00623062" w:rsidRDefault="00623062" w:rsidP="00623062">
            <w:pPr>
              <w:jc w:val="center"/>
            </w:pPr>
            <w:r>
              <w:t>18.2</w:t>
            </w:r>
          </w:p>
          <w:p w14:paraId="31C627DC" w14:textId="47757751" w:rsidR="00623062" w:rsidRDefault="00623062" w:rsidP="00623062">
            <w:pPr>
              <w:jc w:val="center"/>
            </w:pPr>
            <w:r>
              <w:t>4.5</w:t>
            </w:r>
          </w:p>
        </w:tc>
      </w:tr>
    </w:tbl>
    <w:p w14:paraId="321052B6" w14:textId="6867B963" w:rsidR="00611274" w:rsidRDefault="00611274" w:rsidP="00611274">
      <w:pPr>
        <w:spacing w:after="0" w:line="240" w:lineRule="auto"/>
      </w:pPr>
    </w:p>
    <w:p w14:paraId="6E400984" w14:textId="7C7D75CD" w:rsidR="00623062" w:rsidRDefault="006C0600" w:rsidP="00611274">
      <w:pPr>
        <w:spacing w:after="0" w:line="240" w:lineRule="auto"/>
      </w:pPr>
      <w:r w:rsidRPr="006C0600">
        <w:rPr>
          <w:i/>
          <w:iCs/>
          <w:u w:val="single"/>
        </w:rPr>
        <w:t>Living Situation</w:t>
      </w:r>
      <w:r>
        <w:rPr>
          <w:i/>
          <w:iCs/>
        </w:rPr>
        <w:t xml:space="preserve">: </w:t>
      </w:r>
      <w:r w:rsidR="002C34E0">
        <w:t>Most clients</w:t>
      </w:r>
      <w:r w:rsidR="00623062">
        <w:t xml:space="preserve"> were housed in the past 30 days at intake</w:t>
      </w:r>
      <w:r w:rsidR="002C34E0">
        <w:t xml:space="preserve"> (</w:t>
      </w:r>
      <w:r w:rsidR="002C34E0" w:rsidRPr="002C34E0">
        <w:rPr>
          <w:i/>
          <w:iCs/>
        </w:rPr>
        <w:t>n</w:t>
      </w:r>
      <w:r w:rsidR="002C34E0">
        <w:t xml:space="preserve"> = 29, 65.9%).  </w:t>
      </w:r>
      <w:r w:rsidR="00623062" w:rsidRPr="002C34E0">
        <w:t>Of</w:t>
      </w:r>
      <w:r w:rsidR="00623062">
        <w:t xml:space="preserve"> the 29 who were housed, 14 lived at their own apartment, room, or house (31.8</w:t>
      </w:r>
      <w:r w:rsidR="00EA1368">
        <w:t>%</w:t>
      </w:r>
      <w:r w:rsidR="00623062">
        <w:t>) and 15 lived at someone else’s apartment, room, or house (34.1</w:t>
      </w:r>
      <w:r w:rsidR="00EA1368">
        <w:t>%</w:t>
      </w:r>
      <w:r w:rsidR="00623062">
        <w:t>).</w:t>
      </w:r>
      <w:r w:rsidR="00FD704C">
        <w:t xml:space="preserve">  See </w:t>
      </w:r>
      <w:r w:rsidR="00D26A42">
        <w:t>Figure</w:t>
      </w:r>
      <w:r w:rsidR="00FD704C">
        <w:t xml:space="preserve"> 1 below.</w:t>
      </w:r>
    </w:p>
    <w:p w14:paraId="46424E9F" w14:textId="77777777" w:rsidR="00FD704C" w:rsidRDefault="00FD704C" w:rsidP="00FD704C">
      <w:pPr>
        <w:spacing w:after="0" w:line="240" w:lineRule="auto"/>
      </w:pPr>
    </w:p>
    <w:p w14:paraId="1CBA3D9E" w14:textId="01948E5A" w:rsidR="00FD704C" w:rsidRPr="00FD704C" w:rsidRDefault="00D26A42" w:rsidP="00FD704C">
      <w:pPr>
        <w:spacing w:after="0" w:line="240" w:lineRule="auto"/>
        <w:jc w:val="center"/>
        <w:rPr>
          <w:b/>
          <w:bCs/>
        </w:rPr>
      </w:pPr>
      <w:r>
        <w:rPr>
          <w:b/>
          <w:bCs/>
        </w:rPr>
        <w:t>Figure</w:t>
      </w:r>
      <w:r w:rsidR="00FD704C" w:rsidRPr="00FD704C">
        <w:rPr>
          <w:b/>
          <w:bCs/>
        </w:rPr>
        <w:t xml:space="preserve"> 1. Clients’ </w:t>
      </w:r>
      <w:r w:rsidR="00FD704C">
        <w:rPr>
          <w:b/>
          <w:bCs/>
        </w:rPr>
        <w:t>P</w:t>
      </w:r>
      <w:r w:rsidR="00FD704C" w:rsidRPr="00FD704C">
        <w:rPr>
          <w:b/>
          <w:bCs/>
        </w:rPr>
        <w:t xml:space="preserve">rimary </w:t>
      </w:r>
      <w:r w:rsidR="00FD704C">
        <w:rPr>
          <w:b/>
          <w:bCs/>
        </w:rPr>
        <w:t>L</w:t>
      </w:r>
      <w:r w:rsidR="00FD704C" w:rsidRPr="00FD704C">
        <w:rPr>
          <w:b/>
          <w:bCs/>
        </w:rPr>
        <w:t xml:space="preserve">iving </w:t>
      </w:r>
      <w:r w:rsidR="00FD704C">
        <w:rPr>
          <w:b/>
          <w:bCs/>
        </w:rPr>
        <w:t>S</w:t>
      </w:r>
      <w:r w:rsidR="00FD704C" w:rsidRPr="00FD704C">
        <w:rPr>
          <w:b/>
          <w:bCs/>
        </w:rPr>
        <w:t xml:space="preserve">ituation in the </w:t>
      </w:r>
      <w:r w:rsidR="00FD704C">
        <w:rPr>
          <w:b/>
          <w:bCs/>
        </w:rPr>
        <w:t>P</w:t>
      </w:r>
      <w:r w:rsidR="00FD704C" w:rsidRPr="00FD704C">
        <w:rPr>
          <w:b/>
          <w:bCs/>
        </w:rPr>
        <w:t xml:space="preserve">ast 30 </w:t>
      </w:r>
      <w:r w:rsidR="00FD704C">
        <w:rPr>
          <w:b/>
          <w:bCs/>
        </w:rPr>
        <w:t>D</w:t>
      </w:r>
      <w:r w:rsidR="00FD704C" w:rsidRPr="00FD704C">
        <w:rPr>
          <w:b/>
          <w:bCs/>
        </w:rPr>
        <w:t xml:space="preserve">ays at </w:t>
      </w:r>
      <w:r w:rsidR="00FD704C">
        <w:rPr>
          <w:b/>
          <w:bCs/>
        </w:rPr>
        <w:t>I</w:t>
      </w:r>
      <w:r w:rsidR="00FD704C" w:rsidRPr="00FD704C">
        <w:rPr>
          <w:b/>
          <w:bCs/>
        </w:rPr>
        <w:t>ntake</w:t>
      </w:r>
      <w:r w:rsidR="00F0232D">
        <w:rPr>
          <w:b/>
          <w:bCs/>
        </w:rPr>
        <w:t xml:space="preserve"> (</w:t>
      </w:r>
      <w:r w:rsidR="00F0232D" w:rsidRPr="007B184A">
        <w:rPr>
          <w:b/>
          <w:bCs/>
          <w:i/>
          <w:iCs/>
        </w:rPr>
        <w:t>n</w:t>
      </w:r>
      <w:r w:rsidR="00F0232D">
        <w:rPr>
          <w:b/>
          <w:bCs/>
        </w:rPr>
        <w:t xml:space="preserve"> = 44)</w:t>
      </w:r>
    </w:p>
    <w:p w14:paraId="6CCE91EB" w14:textId="501FC4AB" w:rsidR="00FD704C" w:rsidRDefault="0066389D" w:rsidP="00FD704C">
      <w:pPr>
        <w:spacing w:after="0" w:line="240" w:lineRule="auto"/>
        <w:jc w:val="center"/>
      </w:pPr>
      <w:r>
        <w:rPr>
          <w:noProof/>
        </w:rPr>
        <w:drawing>
          <wp:inline distT="0" distB="0" distL="0" distR="0" wp14:anchorId="46E7D8E1" wp14:editId="1A4CC73C">
            <wp:extent cx="4258058" cy="248117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70669" cy="2488524"/>
                    </a:xfrm>
                    <a:prstGeom prst="rect">
                      <a:avLst/>
                    </a:prstGeom>
                    <a:noFill/>
                  </pic:spPr>
                </pic:pic>
              </a:graphicData>
            </a:graphic>
          </wp:inline>
        </w:drawing>
      </w:r>
    </w:p>
    <w:p w14:paraId="4D505273" w14:textId="3917BF01" w:rsidR="001E4558" w:rsidRDefault="001E4558" w:rsidP="00611274">
      <w:pPr>
        <w:spacing w:after="0" w:line="240" w:lineRule="auto"/>
      </w:pPr>
    </w:p>
    <w:p w14:paraId="5F075843" w14:textId="30A24345" w:rsidR="006E77F1" w:rsidRDefault="006C0600" w:rsidP="00611274">
      <w:pPr>
        <w:spacing w:after="0" w:line="240" w:lineRule="auto"/>
      </w:pPr>
      <w:r w:rsidRPr="006C0600">
        <w:rPr>
          <w:i/>
          <w:iCs/>
          <w:u w:val="single"/>
        </w:rPr>
        <w:lastRenderedPageBreak/>
        <w:t>Pregnancy and Children</w:t>
      </w:r>
      <w:r>
        <w:t xml:space="preserve">: </w:t>
      </w:r>
      <w:r w:rsidR="006E77F1" w:rsidRPr="006C0600">
        <w:t>All</w:t>
      </w:r>
      <w:r w:rsidR="006E77F1">
        <w:t xml:space="preserve"> 44 clients had children at the time they completed the intake GPRA, with 9 clients currently pregnant (20.5%).  The number of children ranged from 1 to 8 children, with </w:t>
      </w:r>
      <w:r w:rsidR="00ED280A">
        <w:t>the clients having between 2 to 3 children on average (mean = 2.98).  Eighteen clients reported having at least one child living with someone else due to a child protection order (40.9%), and 8 clients reporting having lost parental rights for at least one child (18.2%).</w:t>
      </w:r>
    </w:p>
    <w:p w14:paraId="18A389E2" w14:textId="54ED51B5" w:rsidR="006C0600" w:rsidRDefault="006C0600" w:rsidP="00611274">
      <w:pPr>
        <w:spacing w:after="0" w:line="240" w:lineRule="auto"/>
      </w:pPr>
    </w:p>
    <w:p w14:paraId="2F6465D8" w14:textId="18965603" w:rsidR="006C0600" w:rsidRDefault="006C0600" w:rsidP="00611274">
      <w:pPr>
        <w:spacing w:after="0" w:line="240" w:lineRule="auto"/>
      </w:pPr>
      <w:r w:rsidRPr="006C0600">
        <w:rPr>
          <w:i/>
          <w:iCs/>
          <w:u w:val="single"/>
        </w:rPr>
        <w:t>Health Status</w:t>
      </w:r>
      <w:r>
        <w:t>: Over half of the clients reported their health in the past 30 days at intake as good or very good (</w:t>
      </w:r>
      <w:r>
        <w:rPr>
          <w:i/>
          <w:iCs/>
        </w:rPr>
        <w:t>n</w:t>
      </w:r>
      <w:r>
        <w:t xml:space="preserve"> = 23, 52.3%), </w:t>
      </w:r>
      <w:r w:rsidR="00D26A42">
        <w:t xml:space="preserve">15 clients reported their health as neither poor nor good (34.1%), </w:t>
      </w:r>
      <w:r>
        <w:t>and 5 clients reported their health as poor or very poor (</w:t>
      </w:r>
      <w:r w:rsidR="00D26A42">
        <w:t xml:space="preserve">11.4%).  </w:t>
      </w:r>
      <w:proofErr w:type="gramStart"/>
      <w:r w:rsidR="00D26A42">
        <w:t>A majority of</w:t>
      </w:r>
      <w:proofErr w:type="gramEnd"/>
      <w:r w:rsidR="00D26A42">
        <w:t xml:space="preserve"> clients were satisfied or very satisfied with their health (</w:t>
      </w:r>
      <w:r w:rsidR="00D26A42">
        <w:rPr>
          <w:i/>
          <w:iCs/>
        </w:rPr>
        <w:t>n</w:t>
      </w:r>
      <w:r w:rsidR="00D26A42">
        <w:t xml:space="preserve"> = 29, 65.9%), 10 clients were neither satisfied nor dissatisfied (22.7%), and 5 clients were dissatisfied or very dissatisfied (11.4%).  </w:t>
      </w:r>
      <w:r w:rsidR="00066743">
        <w:t xml:space="preserve">Most clients were not at all or slightly bothered by psychological or emotional problems </w:t>
      </w:r>
      <w:r w:rsidR="0035273E">
        <w:t xml:space="preserve">not due to alcohol or drug use (i.e., serious depression; serious anxiety or tension; hallucinations; trouble understanding, concentrating, or remembering; trouble controlling violent behavior; attempted suicide) </w:t>
      </w:r>
      <w:r w:rsidR="00066743">
        <w:t>in the past 30 days (</w:t>
      </w:r>
      <w:r w:rsidR="00066743" w:rsidRPr="00066743">
        <w:rPr>
          <w:i/>
          <w:iCs/>
        </w:rPr>
        <w:t>n</w:t>
      </w:r>
      <w:r w:rsidR="00066743">
        <w:t xml:space="preserve"> = 24, 54.6%), 4 clients were moderately bothered (9.1%), and 13 clients were considerably or extremely bothered (29.6%).</w:t>
      </w:r>
    </w:p>
    <w:p w14:paraId="0A8270AB" w14:textId="5A6E81A3" w:rsidR="006E77F1" w:rsidRDefault="006E77F1" w:rsidP="00611274">
      <w:pPr>
        <w:spacing w:after="0" w:line="240" w:lineRule="auto"/>
      </w:pPr>
    </w:p>
    <w:p w14:paraId="5C702E2B" w14:textId="660B3D23" w:rsidR="0035273E" w:rsidRPr="0035273E" w:rsidRDefault="0035273E" w:rsidP="00611274">
      <w:pPr>
        <w:spacing w:after="0" w:line="240" w:lineRule="auto"/>
      </w:pPr>
      <w:r>
        <w:rPr>
          <w:i/>
          <w:iCs/>
          <w:u w:val="single"/>
        </w:rPr>
        <w:t>Trauma History</w:t>
      </w:r>
      <w:r>
        <w:t>: Nearly all clients have ever experienced violence or trauma in any setting (</w:t>
      </w:r>
      <w:r w:rsidRPr="0035273E">
        <w:rPr>
          <w:i/>
          <w:iCs/>
        </w:rPr>
        <w:t>n</w:t>
      </w:r>
      <w:r>
        <w:t xml:space="preserve"> = 41, 93.2%)</w:t>
      </w:r>
      <w:r w:rsidR="00C4658B">
        <w:t xml:space="preserve"> and have experienced ongoing challenges related to their trauma.  Over one in ten clients reported having been hit, kicked, slapped, or otherwise physically hurt (</w:t>
      </w:r>
      <w:r w:rsidR="00C4658B" w:rsidRPr="00C4658B">
        <w:rPr>
          <w:i/>
          <w:iCs/>
        </w:rPr>
        <w:t>n</w:t>
      </w:r>
      <w:r w:rsidR="00C4658B">
        <w:t xml:space="preserve"> = 6, 13.7%).  See Table 2 below.</w:t>
      </w:r>
    </w:p>
    <w:p w14:paraId="0813091C" w14:textId="387C0B7C" w:rsidR="0035273E" w:rsidRDefault="0035273E" w:rsidP="00611274">
      <w:pPr>
        <w:spacing w:after="0" w:line="240" w:lineRule="auto"/>
      </w:pPr>
    </w:p>
    <w:p w14:paraId="09D16D97" w14:textId="741D242B" w:rsidR="00144171" w:rsidRPr="00144171" w:rsidRDefault="00144171" w:rsidP="00144171">
      <w:pPr>
        <w:spacing w:after="0" w:line="240" w:lineRule="auto"/>
        <w:jc w:val="center"/>
        <w:rPr>
          <w:b/>
          <w:bCs/>
        </w:rPr>
      </w:pPr>
      <w:r>
        <w:rPr>
          <w:b/>
          <w:bCs/>
        </w:rPr>
        <w:t>Table 2. Impact of Trauma on Clients Enrolled in Year 3</w:t>
      </w:r>
      <w:r w:rsidR="00F0232D">
        <w:rPr>
          <w:b/>
          <w:bCs/>
        </w:rPr>
        <w:t xml:space="preserve"> (</w:t>
      </w:r>
      <w:r w:rsidR="00F0232D" w:rsidRPr="007B184A">
        <w:rPr>
          <w:b/>
          <w:bCs/>
          <w:i/>
          <w:iCs/>
        </w:rPr>
        <w:t>n</w:t>
      </w:r>
      <w:r w:rsidR="00F0232D">
        <w:rPr>
          <w:b/>
          <w:bCs/>
        </w:rPr>
        <w:t xml:space="preserve"> = 44)</w:t>
      </w:r>
    </w:p>
    <w:tbl>
      <w:tblPr>
        <w:tblStyle w:val="TableGrid"/>
        <w:tblW w:w="0" w:type="auto"/>
        <w:jc w:val="center"/>
        <w:tblLook w:val="04A0" w:firstRow="1" w:lastRow="0" w:firstColumn="1" w:lastColumn="0" w:noHBand="0" w:noVBand="1"/>
      </w:tblPr>
      <w:tblGrid>
        <w:gridCol w:w="4325"/>
        <w:gridCol w:w="1165"/>
        <w:gridCol w:w="1165"/>
      </w:tblGrid>
      <w:tr w:rsidR="00C4658B" w14:paraId="211B8421" w14:textId="77777777" w:rsidTr="00144171">
        <w:trPr>
          <w:jc w:val="center"/>
        </w:trPr>
        <w:tc>
          <w:tcPr>
            <w:tcW w:w="4325" w:type="dxa"/>
            <w:shd w:val="clear" w:color="auto" w:fill="627D77" w:themeFill="background2"/>
          </w:tcPr>
          <w:p w14:paraId="13595581" w14:textId="58BDF30A" w:rsidR="00C4658B" w:rsidRPr="00144171" w:rsidRDefault="00144171" w:rsidP="00C4658B">
            <w:pPr>
              <w:jc w:val="center"/>
              <w:rPr>
                <w:b/>
                <w:bCs/>
                <w:color w:val="FFFFFF" w:themeColor="background1"/>
              </w:rPr>
            </w:pPr>
            <w:r>
              <w:rPr>
                <w:b/>
                <w:bCs/>
                <w:color w:val="FFFFFF" w:themeColor="background1"/>
              </w:rPr>
              <w:t>Impact</w:t>
            </w:r>
          </w:p>
        </w:tc>
        <w:tc>
          <w:tcPr>
            <w:tcW w:w="1165" w:type="dxa"/>
            <w:shd w:val="clear" w:color="auto" w:fill="627D77" w:themeFill="background2"/>
          </w:tcPr>
          <w:p w14:paraId="6531F507" w14:textId="0C73187A" w:rsidR="00C4658B" w:rsidRPr="00144171" w:rsidRDefault="00144171" w:rsidP="00C4658B">
            <w:pPr>
              <w:jc w:val="center"/>
              <w:rPr>
                <w:b/>
                <w:bCs/>
                <w:color w:val="FFFFFF" w:themeColor="background1"/>
              </w:rPr>
            </w:pPr>
            <w:r>
              <w:rPr>
                <w:b/>
                <w:bCs/>
                <w:color w:val="FFFFFF" w:themeColor="background1"/>
              </w:rPr>
              <w:t>#</w:t>
            </w:r>
          </w:p>
        </w:tc>
        <w:tc>
          <w:tcPr>
            <w:tcW w:w="1165" w:type="dxa"/>
            <w:shd w:val="clear" w:color="auto" w:fill="627D77" w:themeFill="background2"/>
          </w:tcPr>
          <w:p w14:paraId="4891EC1A" w14:textId="367EC5EE" w:rsidR="00C4658B" w:rsidRPr="00144171" w:rsidRDefault="00144171" w:rsidP="00C4658B">
            <w:pPr>
              <w:jc w:val="center"/>
              <w:rPr>
                <w:b/>
                <w:bCs/>
                <w:color w:val="FFFFFF" w:themeColor="background1"/>
              </w:rPr>
            </w:pPr>
            <w:r>
              <w:rPr>
                <w:b/>
                <w:bCs/>
                <w:color w:val="FFFFFF" w:themeColor="background1"/>
              </w:rPr>
              <w:t>%</w:t>
            </w:r>
          </w:p>
        </w:tc>
      </w:tr>
      <w:tr w:rsidR="00C4658B" w14:paraId="2A2199D7" w14:textId="77777777" w:rsidTr="00144171">
        <w:trPr>
          <w:jc w:val="center"/>
        </w:trPr>
        <w:tc>
          <w:tcPr>
            <w:tcW w:w="4325" w:type="dxa"/>
          </w:tcPr>
          <w:p w14:paraId="37A8A1EF" w14:textId="6CE07879" w:rsidR="00C4658B" w:rsidRDefault="00144171" w:rsidP="00144171">
            <w:r>
              <w:t>Have had nightmares about it or thought about it when they did not want to</w:t>
            </w:r>
          </w:p>
        </w:tc>
        <w:tc>
          <w:tcPr>
            <w:tcW w:w="1165" w:type="dxa"/>
          </w:tcPr>
          <w:p w14:paraId="5B590D4A" w14:textId="46C2B761" w:rsidR="00C4658B" w:rsidRDefault="00144171" w:rsidP="00C4658B">
            <w:pPr>
              <w:jc w:val="center"/>
            </w:pPr>
            <w:r>
              <w:t>27</w:t>
            </w:r>
          </w:p>
        </w:tc>
        <w:tc>
          <w:tcPr>
            <w:tcW w:w="1165" w:type="dxa"/>
          </w:tcPr>
          <w:p w14:paraId="025FA3F5" w14:textId="07FECCBE" w:rsidR="00C4658B" w:rsidRDefault="00144171" w:rsidP="00C4658B">
            <w:pPr>
              <w:jc w:val="center"/>
            </w:pPr>
            <w:r>
              <w:t>61.4</w:t>
            </w:r>
          </w:p>
        </w:tc>
      </w:tr>
      <w:tr w:rsidR="00C4658B" w14:paraId="1CFCCDEA" w14:textId="77777777" w:rsidTr="00144171">
        <w:trPr>
          <w:jc w:val="center"/>
        </w:trPr>
        <w:tc>
          <w:tcPr>
            <w:tcW w:w="4325" w:type="dxa"/>
          </w:tcPr>
          <w:p w14:paraId="66178A8C" w14:textId="5AD6FFA0" w:rsidR="00C4658B" w:rsidRDefault="00144171" w:rsidP="00144171">
            <w:r>
              <w:t>Tried hard not to think about it or went out of their way to avoid situations that reminded them of it</w:t>
            </w:r>
          </w:p>
        </w:tc>
        <w:tc>
          <w:tcPr>
            <w:tcW w:w="1165" w:type="dxa"/>
          </w:tcPr>
          <w:p w14:paraId="302B0B9B" w14:textId="2BF11790" w:rsidR="00C4658B" w:rsidRDefault="00144171" w:rsidP="00C4658B">
            <w:pPr>
              <w:jc w:val="center"/>
            </w:pPr>
            <w:r>
              <w:t>32</w:t>
            </w:r>
          </w:p>
        </w:tc>
        <w:tc>
          <w:tcPr>
            <w:tcW w:w="1165" w:type="dxa"/>
          </w:tcPr>
          <w:p w14:paraId="7E68FE9D" w14:textId="2040F9A4" w:rsidR="00C4658B" w:rsidRDefault="00144171" w:rsidP="00C4658B">
            <w:pPr>
              <w:jc w:val="center"/>
            </w:pPr>
            <w:r>
              <w:t>72.7</w:t>
            </w:r>
          </w:p>
        </w:tc>
      </w:tr>
      <w:tr w:rsidR="00C4658B" w14:paraId="3B12FAE5" w14:textId="77777777" w:rsidTr="00144171">
        <w:trPr>
          <w:jc w:val="center"/>
        </w:trPr>
        <w:tc>
          <w:tcPr>
            <w:tcW w:w="4325" w:type="dxa"/>
          </w:tcPr>
          <w:p w14:paraId="29744DAB" w14:textId="2708CFFF" w:rsidR="00C4658B" w:rsidRDefault="00144171" w:rsidP="00144171">
            <w:r>
              <w:t>Were constantly on guard, watchful, or easily startled</w:t>
            </w:r>
          </w:p>
        </w:tc>
        <w:tc>
          <w:tcPr>
            <w:tcW w:w="1165" w:type="dxa"/>
          </w:tcPr>
          <w:p w14:paraId="6DD473C8" w14:textId="14213E0F" w:rsidR="00C4658B" w:rsidRDefault="00144171" w:rsidP="00C4658B">
            <w:pPr>
              <w:jc w:val="center"/>
            </w:pPr>
            <w:r>
              <w:t>35</w:t>
            </w:r>
          </w:p>
        </w:tc>
        <w:tc>
          <w:tcPr>
            <w:tcW w:w="1165" w:type="dxa"/>
          </w:tcPr>
          <w:p w14:paraId="0A6AB79F" w14:textId="0DD1914D" w:rsidR="00C4658B" w:rsidRDefault="00144171" w:rsidP="00C4658B">
            <w:pPr>
              <w:jc w:val="center"/>
            </w:pPr>
            <w:r>
              <w:t>79.5</w:t>
            </w:r>
          </w:p>
        </w:tc>
      </w:tr>
      <w:tr w:rsidR="00C4658B" w14:paraId="154D3B57" w14:textId="77777777" w:rsidTr="00144171">
        <w:trPr>
          <w:jc w:val="center"/>
        </w:trPr>
        <w:tc>
          <w:tcPr>
            <w:tcW w:w="4325" w:type="dxa"/>
          </w:tcPr>
          <w:p w14:paraId="622FFC81" w14:textId="21C020B2" w:rsidR="00C4658B" w:rsidRDefault="00144171" w:rsidP="00144171">
            <w:r>
              <w:t>Felt numb and detached from others, activities, or their surroundings</w:t>
            </w:r>
          </w:p>
        </w:tc>
        <w:tc>
          <w:tcPr>
            <w:tcW w:w="1165" w:type="dxa"/>
          </w:tcPr>
          <w:p w14:paraId="65F6CE7B" w14:textId="4EF933C6" w:rsidR="00C4658B" w:rsidRDefault="00144171" w:rsidP="00C4658B">
            <w:pPr>
              <w:jc w:val="center"/>
            </w:pPr>
            <w:r>
              <w:t>25</w:t>
            </w:r>
          </w:p>
        </w:tc>
        <w:tc>
          <w:tcPr>
            <w:tcW w:w="1165" w:type="dxa"/>
          </w:tcPr>
          <w:p w14:paraId="485C3AEC" w14:textId="30DA6373" w:rsidR="00C4658B" w:rsidRDefault="00144171" w:rsidP="00C4658B">
            <w:pPr>
              <w:jc w:val="center"/>
            </w:pPr>
            <w:r>
              <w:t>56.8</w:t>
            </w:r>
          </w:p>
        </w:tc>
      </w:tr>
    </w:tbl>
    <w:p w14:paraId="0EE07488" w14:textId="53E3464B" w:rsidR="00C4658B" w:rsidRDefault="00C4658B" w:rsidP="00C4658B">
      <w:pPr>
        <w:spacing w:after="0" w:line="240" w:lineRule="auto"/>
        <w:jc w:val="center"/>
      </w:pPr>
    </w:p>
    <w:p w14:paraId="510C90A0" w14:textId="4E4D8200" w:rsidR="00C4658B" w:rsidRDefault="00875ABD" w:rsidP="00611274">
      <w:pPr>
        <w:spacing w:after="0" w:line="240" w:lineRule="auto"/>
      </w:pPr>
      <w:r>
        <w:rPr>
          <w:i/>
          <w:iCs/>
          <w:u w:val="single"/>
        </w:rPr>
        <w:t>Substance</w:t>
      </w:r>
      <w:r w:rsidR="00B34F02" w:rsidRPr="00B34F02">
        <w:rPr>
          <w:i/>
          <w:iCs/>
          <w:u w:val="single"/>
        </w:rPr>
        <w:t xml:space="preserve"> Use</w:t>
      </w:r>
      <w:r w:rsidR="00B34F02">
        <w:t xml:space="preserve">. </w:t>
      </w:r>
      <w:r w:rsidR="002B72A7">
        <w:t>At intake, 6 clients reported having used both alcohol and drugs on the same day (13.6%, mean = 11.33 days, SD = 11.0).  Of those who reported using drugs, 3 clients reported having used a syringe/needle, cooker, cotton, or water that someone else used (6.8%, mean = 5 days, SD = 0.0).  See Table 3 below for a breakdown of the average number of days alcohol and different drugs were used in the past 30 days at the time of intake.</w:t>
      </w:r>
    </w:p>
    <w:p w14:paraId="184ABA25" w14:textId="61975AE1" w:rsidR="00875ABD" w:rsidRDefault="00875ABD" w:rsidP="00611274">
      <w:pPr>
        <w:spacing w:after="0" w:line="240" w:lineRule="auto"/>
      </w:pPr>
    </w:p>
    <w:p w14:paraId="068665E6" w14:textId="6DE459DC" w:rsidR="00875ABD" w:rsidRPr="00875ABD" w:rsidRDefault="00875ABD" w:rsidP="00875ABD">
      <w:pPr>
        <w:spacing w:after="0" w:line="240" w:lineRule="auto"/>
        <w:jc w:val="center"/>
        <w:rPr>
          <w:b/>
          <w:bCs/>
        </w:rPr>
      </w:pPr>
      <w:r>
        <w:rPr>
          <w:b/>
          <w:bCs/>
        </w:rPr>
        <w:t>Table 3. Alcohol and Drug Use in the Past 30 Days at Intake</w:t>
      </w:r>
      <w:r w:rsidR="007B184A">
        <w:rPr>
          <w:b/>
          <w:bCs/>
        </w:rPr>
        <w:t xml:space="preserve"> (</w:t>
      </w:r>
      <w:r w:rsidR="007B184A" w:rsidRPr="007B184A">
        <w:rPr>
          <w:b/>
          <w:bCs/>
          <w:i/>
          <w:iCs/>
        </w:rPr>
        <w:t>n</w:t>
      </w:r>
      <w:r w:rsidR="007B184A">
        <w:rPr>
          <w:b/>
          <w:bCs/>
        </w:rPr>
        <w:t xml:space="preserve"> = </w:t>
      </w:r>
      <w:r w:rsidR="00F0232D">
        <w:rPr>
          <w:b/>
          <w:bCs/>
        </w:rPr>
        <w:t>44</w:t>
      </w:r>
      <w:r w:rsidR="007B184A">
        <w:rPr>
          <w:b/>
          <w:bCs/>
        </w:rPr>
        <w:t>)</w:t>
      </w:r>
    </w:p>
    <w:tbl>
      <w:tblPr>
        <w:tblStyle w:val="TableGrid"/>
        <w:tblW w:w="0" w:type="auto"/>
        <w:jc w:val="center"/>
        <w:tblLook w:val="04A0" w:firstRow="1" w:lastRow="0" w:firstColumn="1" w:lastColumn="0" w:noHBand="0" w:noVBand="1"/>
      </w:tblPr>
      <w:tblGrid>
        <w:gridCol w:w="3505"/>
        <w:gridCol w:w="1449"/>
        <w:gridCol w:w="2246"/>
      </w:tblGrid>
      <w:tr w:rsidR="00A3166E" w14:paraId="164E5683" w14:textId="77777777" w:rsidTr="00A3166E">
        <w:trPr>
          <w:jc w:val="center"/>
        </w:trPr>
        <w:tc>
          <w:tcPr>
            <w:tcW w:w="3505" w:type="dxa"/>
            <w:shd w:val="clear" w:color="auto" w:fill="627D77" w:themeFill="background2"/>
          </w:tcPr>
          <w:p w14:paraId="40C90321" w14:textId="328E0692" w:rsidR="00A3166E" w:rsidRPr="00F0232D" w:rsidRDefault="00A3166E" w:rsidP="00570573">
            <w:pPr>
              <w:rPr>
                <w:b/>
                <w:bCs/>
                <w:color w:val="FFFFFF" w:themeColor="background1"/>
              </w:rPr>
            </w:pPr>
            <w:r w:rsidRPr="00F0232D">
              <w:rPr>
                <w:b/>
                <w:bCs/>
                <w:color w:val="FFFFFF" w:themeColor="background1"/>
              </w:rPr>
              <w:t>Alcohol use in the past 30 days</w:t>
            </w:r>
          </w:p>
        </w:tc>
        <w:tc>
          <w:tcPr>
            <w:tcW w:w="1449" w:type="dxa"/>
            <w:shd w:val="clear" w:color="auto" w:fill="627D77" w:themeFill="background2"/>
          </w:tcPr>
          <w:p w14:paraId="74B318B7" w14:textId="129DA565" w:rsidR="00A3166E" w:rsidRPr="00F0232D" w:rsidRDefault="00A3166E" w:rsidP="00875ABD">
            <w:pPr>
              <w:jc w:val="center"/>
              <w:rPr>
                <w:b/>
                <w:bCs/>
                <w:color w:val="FFFFFF" w:themeColor="background1"/>
              </w:rPr>
            </w:pPr>
            <w:r>
              <w:rPr>
                <w:b/>
                <w:bCs/>
                <w:color w:val="FFFFFF" w:themeColor="background1"/>
              </w:rPr>
              <w:t># clients (%)</w:t>
            </w:r>
          </w:p>
        </w:tc>
        <w:tc>
          <w:tcPr>
            <w:tcW w:w="2246" w:type="dxa"/>
            <w:shd w:val="clear" w:color="auto" w:fill="627D77" w:themeFill="background2"/>
          </w:tcPr>
          <w:p w14:paraId="7A89DF74" w14:textId="44DECBBD" w:rsidR="00A3166E" w:rsidRPr="00F0232D" w:rsidRDefault="00A3166E" w:rsidP="00875ABD">
            <w:pPr>
              <w:jc w:val="center"/>
              <w:rPr>
                <w:b/>
                <w:bCs/>
                <w:color w:val="FFFFFF" w:themeColor="background1"/>
              </w:rPr>
            </w:pPr>
            <w:r w:rsidRPr="00F0232D">
              <w:rPr>
                <w:b/>
                <w:bCs/>
                <w:color w:val="FFFFFF" w:themeColor="background1"/>
              </w:rPr>
              <w:t>Mean # days (SD)</w:t>
            </w:r>
          </w:p>
        </w:tc>
      </w:tr>
      <w:tr w:rsidR="00A3166E" w14:paraId="0DAA5811" w14:textId="77777777" w:rsidTr="00A3166E">
        <w:trPr>
          <w:jc w:val="center"/>
        </w:trPr>
        <w:tc>
          <w:tcPr>
            <w:tcW w:w="3505" w:type="dxa"/>
          </w:tcPr>
          <w:p w14:paraId="56598C52" w14:textId="74D3531E" w:rsidR="00A3166E" w:rsidRDefault="00A3166E" w:rsidP="00611274">
            <w:r>
              <w:t>Used any alcohol</w:t>
            </w:r>
          </w:p>
        </w:tc>
        <w:tc>
          <w:tcPr>
            <w:tcW w:w="1449" w:type="dxa"/>
          </w:tcPr>
          <w:p w14:paraId="362F0D9F" w14:textId="357CF6E0" w:rsidR="00A3166E" w:rsidRDefault="00A3166E" w:rsidP="00570573">
            <w:pPr>
              <w:jc w:val="center"/>
            </w:pPr>
            <w:r>
              <w:t>6 (13.6)</w:t>
            </w:r>
          </w:p>
        </w:tc>
        <w:tc>
          <w:tcPr>
            <w:tcW w:w="2246" w:type="dxa"/>
          </w:tcPr>
          <w:p w14:paraId="4469107D" w14:textId="15C809DD" w:rsidR="00A3166E" w:rsidRDefault="00A3166E" w:rsidP="00570573">
            <w:pPr>
              <w:jc w:val="center"/>
            </w:pPr>
            <w:r>
              <w:t>15.8 (12.4)</w:t>
            </w:r>
          </w:p>
        </w:tc>
      </w:tr>
      <w:tr w:rsidR="00A3166E" w14:paraId="68E41229" w14:textId="77777777" w:rsidTr="00A3166E">
        <w:trPr>
          <w:jc w:val="center"/>
        </w:trPr>
        <w:tc>
          <w:tcPr>
            <w:tcW w:w="3505" w:type="dxa"/>
          </w:tcPr>
          <w:p w14:paraId="5B0130AF" w14:textId="3746A0F9" w:rsidR="00A3166E" w:rsidRDefault="00A3166E" w:rsidP="00611274">
            <w:r>
              <w:t>Had 5+ drinks in one sitting</w:t>
            </w:r>
          </w:p>
        </w:tc>
        <w:tc>
          <w:tcPr>
            <w:tcW w:w="1449" w:type="dxa"/>
          </w:tcPr>
          <w:p w14:paraId="6189EC51" w14:textId="78450C9F" w:rsidR="00A3166E" w:rsidRDefault="00A3166E" w:rsidP="00570573">
            <w:pPr>
              <w:jc w:val="center"/>
            </w:pPr>
            <w:r>
              <w:t>3 (6.8)</w:t>
            </w:r>
          </w:p>
        </w:tc>
        <w:tc>
          <w:tcPr>
            <w:tcW w:w="2246" w:type="dxa"/>
          </w:tcPr>
          <w:p w14:paraId="57B57F5E" w14:textId="462A584A" w:rsidR="00A3166E" w:rsidRDefault="00A3166E" w:rsidP="00570573">
            <w:pPr>
              <w:jc w:val="center"/>
            </w:pPr>
            <w:r>
              <w:t>21.7 (14.4)</w:t>
            </w:r>
          </w:p>
        </w:tc>
      </w:tr>
      <w:tr w:rsidR="00A3166E" w14:paraId="6FB6D04F" w14:textId="77777777" w:rsidTr="00A3166E">
        <w:trPr>
          <w:jc w:val="center"/>
        </w:trPr>
        <w:tc>
          <w:tcPr>
            <w:tcW w:w="3505" w:type="dxa"/>
          </w:tcPr>
          <w:p w14:paraId="1099A702" w14:textId="2AC4AD22" w:rsidR="00A3166E" w:rsidRDefault="00A3166E" w:rsidP="00611274">
            <w:r>
              <w:t>Had 4 or fewer drinks and felt high</w:t>
            </w:r>
          </w:p>
        </w:tc>
        <w:tc>
          <w:tcPr>
            <w:tcW w:w="1449" w:type="dxa"/>
          </w:tcPr>
          <w:p w14:paraId="2827B5E2" w14:textId="7B98C6D3" w:rsidR="00A3166E" w:rsidRDefault="00A3166E" w:rsidP="00570573">
            <w:pPr>
              <w:jc w:val="center"/>
            </w:pPr>
            <w:r>
              <w:t>1 (2.3)</w:t>
            </w:r>
          </w:p>
        </w:tc>
        <w:tc>
          <w:tcPr>
            <w:tcW w:w="2246" w:type="dxa"/>
          </w:tcPr>
          <w:p w14:paraId="71A8B1B8" w14:textId="033BCCAD" w:rsidR="00A3166E" w:rsidRDefault="00A3166E" w:rsidP="00570573">
            <w:pPr>
              <w:jc w:val="center"/>
            </w:pPr>
            <w:r>
              <w:t>1.0 (N/A)</w:t>
            </w:r>
          </w:p>
        </w:tc>
      </w:tr>
      <w:tr w:rsidR="00A3166E" w14:paraId="575C7B04" w14:textId="77777777" w:rsidTr="00A3166E">
        <w:trPr>
          <w:jc w:val="center"/>
        </w:trPr>
        <w:tc>
          <w:tcPr>
            <w:tcW w:w="3505" w:type="dxa"/>
            <w:shd w:val="clear" w:color="auto" w:fill="627D77" w:themeFill="background2"/>
          </w:tcPr>
          <w:p w14:paraId="53625944" w14:textId="6AEDEF25" w:rsidR="00A3166E" w:rsidRPr="00F0232D" w:rsidRDefault="00A3166E" w:rsidP="007B184A">
            <w:pPr>
              <w:rPr>
                <w:b/>
                <w:bCs/>
                <w:color w:val="FFFFFF" w:themeColor="background1"/>
              </w:rPr>
            </w:pPr>
            <w:r w:rsidRPr="00F0232D">
              <w:rPr>
                <w:b/>
                <w:bCs/>
                <w:color w:val="FFFFFF" w:themeColor="background1"/>
              </w:rPr>
              <w:t>Drug use in the past 30 days</w:t>
            </w:r>
          </w:p>
        </w:tc>
        <w:tc>
          <w:tcPr>
            <w:tcW w:w="1449" w:type="dxa"/>
            <w:shd w:val="clear" w:color="auto" w:fill="627D77" w:themeFill="background2"/>
          </w:tcPr>
          <w:p w14:paraId="48563573" w14:textId="0CB54187" w:rsidR="00A3166E" w:rsidRPr="00F0232D" w:rsidRDefault="00A3166E" w:rsidP="007B184A">
            <w:pPr>
              <w:jc w:val="center"/>
              <w:rPr>
                <w:b/>
                <w:bCs/>
                <w:color w:val="FFFFFF" w:themeColor="background1"/>
              </w:rPr>
            </w:pPr>
            <w:r>
              <w:rPr>
                <w:b/>
                <w:bCs/>
                <w:color w:val="FFFFFF" w:themeColor="background1"/>
              </w:rPr>
              <w:t># clients (%)</w:t>
            </w:r>
          </w:p>
        </w:tc>
        <w:tc>
          <w:tcPr>
            <w:tcW w:w="2246" w:type="dxa"/>
            <w:shd w:val="clear" w:color="auto" w:fill="627D77" w:themeFill="background2"/>
          </w:tcPr>
          <w:p w14:paraId="7F075533" w14:textId="323AE668" w:rsidR="00A3166E" w:rsidRPr="00F0232D" w:rsidRDefault="00A3166E" w:rsidP="007B184A">
            <w:pPr>
              <w:jc w:val="center"/>
              <w:rPr>
                <w:color w:val="FFFFFF" w:themeColor="background1"/>
              </w:rPr>
            </w:pPr>
            <w:r w:rsidRPr="00F0232D">
              <w:rPr>
                <w:b/>
                <w:bCs/>
                <w:color w:val="FFFFFF" w:themeColor="background1"/>
              </w:rPr>
              <w:t>Mean # days (SD)</w:t>
            </w:r>
          </w:p>
        </w:tc>
      </w:tr>
      <w:tr w:rsidR="00DB3F27" w14:paraId="20E0F86C" w14:textId="77777777" w:rsidTr="00A3166E">
        <w:trPr>
          <w:jc w:val="center"/>
        </w:trPr>
        <w:tc>
          <w:tcPr>
            <w:tcW w:w="3505" w:type="dxa"/>
          </w:tcPr>
          <w:p w14:paraId="2A3CA4C9" w14:textId="019B1919" w:rsidR="00DB3F27" w:rsidRDefault="00DB3F27" w:rsidP="00DB3F27">
            <w:r>
              <w:t>Marijuana</w:t>
            </w:r>
          </w:p>
        </w:tc>
        <w:tc>
          <w:tcPr>
            <w:tcW w:w="1449" w:type="dxa"/>
          </w:tcPr>
          <w:p w14:paraId="65D31628" w14:textId="361E7BDF" w:rsidR="00DB3F27" w:rsidRDefault="00DB3F27" w:rsidP="00DB3F27">
            <w:pPr>
              <w:jc w:val="center"/>
            </w:pPr>
            <w:r>
              <w:t>13 (29.5)</w:t>
            </w:r>
          </w:p>
        </w:tc>
        <w:tc>
          <w:tcPr>
            <w:tcW w:w="2246" w:type="dxa"/>
          </w:tcPr>
          <w:p w14:paraId="738A6F69" w14:textId="4A82DECC" w:rsidR="00DB3F27" w:rsidRDefault="00DB3F27" w:rsidP="00DB3F27">
            <w:pPr>
              <w:jc w:val="center"/>
            </w:pPr>
            <w:r>
              <w:t>11.9 (11.6)</w:t>
            </w:r>
          </w:p>
        </w:tc>
      </w:tr>
      <w:tr w:rsidR="00DB3F27" w14:paraId="0F6E487D" w14:textId="77777777" w:rsidTr="00A3166E">
        <w:trPr>
          <w:jc w:val="center"/>
        </w:trPr>
        <w:tc>
          <w:tcPr>
            <w:tcW w:w="3505" w:type="dxa"/>
          </w:tcPr>
          <w:p w14:paraId="604D9D1A" w14:textId="617784EE" w:rsidR="00DB3F27" w:rsidRDefault="00DB3F27" w:rsidP="00DB3F27">
            <w:r>
              <w:t>Cocaine/crack</w:t>
            </w:r>
          </w:p>
        </w:tc>
        <w:tc>
          <w:tcPr>
            <w:tcW w:w="1449" w:type="dxa"/>
          </w:tcPr>
          <w:p w14:paraId="1C90E463" w14:textId="41338E08" w:rsidR="00DB3F27" w:rsidRDefault="00DB3F27" w:rsidP="00DB3F27">
            <w:pPr>
              <w:jc w:val="center"/>
            </w:pPr>
            <w:r>
              <w:t>12 (27.3)</w:t>
            </w:r>
          </w:p>
        </w:tc>
        <w:tc>
          <w:tcPr>
            <w:tcW w:w="2246" w:type="dxa"/>
          </w:tcPr>
          <w:p w14:paraId="7D9670B2" w14:textId="71DC8E23" w:rsidR="00DB3F27" w:rsidRDefault="00DB3F27" w:rsidP="00DB3F27">
            <w:pPr>
              <w:jc w:val="center"/>
            </w:pPr>
            <w:r>
              <w:t>10.8 (10.8)</w:t>
            </w:r>
          </w:p>
        </w:tc>
      </w:tr>
      <w:tr w:rsidR="00DB3F27" w14:paraId="4BD73984" w14:textId="77777777" w:rsidTr="00A3166E">
        <w:trPr>
          <w:jc w:val="center"/>
        </w:trPr>
        <w:tc>
          <w:tcPr>
            <w:tcW w:w="3505" w:type="dxa"/>
          </w:tcPr>
          <w:p w14:paraId="3ED121A3" w14:textId="541587E5" w:rsidR="00DB3F27" w:rsidRDefault="00DB3F27" w:rsidP="00DB3F27">
            <w:r>
              <w:lastRenderedPageBreak/>
              <w:t>Benzodiazepines</w:t>
            </w:r>
          </w:p>
        </w:tc>
        <w:tc>
          <w:tcPr>
            <w:tcW w:w="1449" w:type="dxa"/>
          </w:tcPr>
          <w:p w14:paraId="7804403B" w14:textId="590B42EB" w:rsidR="00DB3F27" w:rsidRDefault="00DB3F27" w:rsidP="00DB3F27">
            <w:pPr>
              <w:jc w:val="center"/>
            </w:pPr>
            <w:r>
              <w:t>9 (20.5)</w:t>
            </w:r>
          </w:p>
        </w:tc>
        <w:tc>
          <w:tcPr>
            <w:tcW w:w="2246" w:type="dxa"/>
          </w:tcPr>
          <w:p w14:paraId="5621055A" w14:textId="20130C56" w:rsidR="00DB3F27" w:rsidRDefault="00DB3F27" w:rsidP="00DB3F27">
            <w:pPr>
              <w:jc w:val="center"/>
            </w:pPr>
            <w:r>
              <w:t>7.1 (9.2)</w:t>
            </w:r>
          </w:p>
        </w:tc>
      </w:tr>
      <w:tr w:rsidR="00DB3F27" w14:paraId="0AC80D4E" w14:textId="77777777" w:rsidTr="00A3166E">
        <w:trPr>
          <w:jc w:val="center"/>
        </w:trPr>
        <w:tc>
          <w:tcPr>
            <w:tcW w:w="3505" w:type="dxa"/>
          </w:tcPr>
          <w:p w14:paraId="564FFE1D" w14:textId="56A4FD6F" w:rsidR="00DB3F27" w:rsidRDefault="00DB3F27" w:rsidP="00DB3F27">
            <w:r>
              <w:t>Hallucinogens/psychedelics</w:t>
            </w:r>
          </w:p>
        </w:tc>
        <w:tc>
          <w:tcPr>
            <w:tcW w:w="1449" w:type="dxa"/>
          </w:tcPr>
          <w:p w14:paraId="55D483FD" w14:textId="129B5E93" w:rsidR="00DB3F27" w:rsidRDefault="00DB3F27" w:rsidP="00DB3F27">
            <w:pPr>
              <w:jc w:val="center"/>
            </w:pPr>
            <w:r>
              <w:t>7 (15.9)</w:t>
            </w:r>
          </w:p>
        </w:tc>
        <w:tc>
          <w:tcPr>
            <w:tcW w:w="2246" w:type="dxa"/>
          </w:tcPr>
          <w:p w14:paraId="54D85880" w14:textId="6D87D94F" w:rsidR="00DB3F27" w:rsidRDefault="00DB3F27" w:rsidP="00DB3F27">
            <w:pPr>
              <w:jc w:val="center"/>
            </w:pPr>
            <w:r>
              <w:t>9.0 (9.2)</w:t>
            </w:r>
          </w:p>
        </w:tc>
      </w:tr>
      <w:tr w:rsidR="00DB3F27" w14:paraId="0A975135" w14:textId="77777777" w:rsidTr="00A3166E">
        <w:trPr>
          <w:jc w:val="center"/>
        </w:trPr>
        <w:tc>
          <w:tcPr>
            <w:tcW w:w="3505" w:type="dxa"/>
          </w:tcPr>
          <w:p w14:paraId="26CECE46" w14:textId="58385993" w:rsidR="00DB3F27" w:rsidRDefault="00DB3F27" w:rsidP="00DB3F27">
            <w:r>
              <w:t>Percocet</w:t>
            </w:r>
          </w:p>
        </w:tc>
        <w:tc>
          <w:tcPr>
            <w:tcW w:w="1449" w:type="dxa"/>
          </w:tcPr>
          <w:p w14:paraId="66CC2A6B" w14:textId="04D13E1D" w:rsidR="00DB3F27" w:rsidRDefault="00DB3F27" w:rsidP="00DB3F27">
            <w:pPr>
              <w:jc w:val="center"/>
            </w:pPr>
            <w:r>
              <w:t>7 (15.9)</w:t>
            </w:r>
          </w:p>
        </w:tc>
        <w:tc>
          <w:tcPr>
            <w:tcW w:w="2246" w:type="dxa"/>
          </w:tcPr>
          <w:p w14:paraId="418446A7" w14:textId="6A488C9D" w:rsidR="00DB3F27" w:rsidRDefault="00DB3F27" w:rsidP="00DB3F27">
            <w:pPr>
              <w:jc w:val="center"/>
            </w:pPr>
            <w:r>
              <w:t>7.4 (11.4)</w:t>
            </w:r>
          </w:p>
        </w:tc>
      </w:tr>
      <w:tr w:rsidR="00DB3F27" w14:paraId="5F5361F2" w14:textId="77777777" w:rsidTr="00A3166E">
        <w:trPr>
          <w:jc w:val="center"/>
        </w:trPr>
        <w:tc>
          <w:tcPr>
            <w:tcW w:w="3505" w:type="dxa"/>
          </w:tcPr>
          <w:p w14:paraId="697D7ACD" w14:textId="5A5F9DA0" w:rsidR="00DB3F27" w:rsidRDefault="00DB3F27" w:rsidP="00DB3F27">
            <w:r>
              <w:t>Heroin</w:t>
            </w:r>
          </w:p>
        </w:tc>
        <w:tc>
          <w:tcPr>
            <w:tcW w:w="1449" w:type="dxa"/>
          </w:tcPr>
          <w:p w14:paraId="0DDCF8B2" w14:textId="212EF05F" w:rsidR="00DB3F27" w:rsidRDefault="00DB3F27" w:rsidP="00DB3F27">
            <w:pPr>
              <w:jc w:val="center"/>
            </w:pPr>
            <w:r>
              <w:t>4 (9.1)</w:t>
            </w:r>
          </w:p>
        </w:tc>
        <w:tc>
          <w:tcPr>
            <w:tcW w:w="2246" w:type="dxa"/>
          </w:tcPr>
          <w:p w14:paraId="713D7F8E" w14:textId="20C83FE9" w:rsidR="00DB3F27" w:rsidRDefault="00DB3F27" w:rsidP="00DB3F27">
            <w:pPr>
              <w:jc w:val="center"/>
            </w:pPr>
            <w:r>
              <w:t>7.0 (5.0)</w:t>
            </w:r>
          </w:p>
        </w:tc>
      </w:tr>
      <w:tr w:rsidR="00DB3F27" w14:paraId="4CFB2D89" w14:textId="77777777" w:rsidTr="00A3166E">
        <w:trPr>
          <w:jc w:val="center"/>
        </w:trPr>
        <w:tc>
          <w:tcPr>
            <w:tcW w:w="3505" w:type="dxa"/>
          </w:tcPr>
          <w:p w14:paraId="435C9850" w14:textId="005B8416" w:rsidR="00DB3F27" w:rsidRDefault="00DB3F27" w:rsidP="00DB3F27">
            <w:r>
              <w:t>Methamphetamines</w:t>
            </w:r>
          </w:p>
        </w:tc>
        <w:tc>
          <w:tcPr>
            <w:tcW w:w="1449" w:type="dxa"/>
          </w:tcPr>
          <w:p w14:paraId="267C393F" w14:textId="51E6E35C" w:rsidR="00DB3F27" w:rsidRDefault="00DB3F27" w:rsidP="00DB3F27">
            <w:pPr>
              <w:jc w:val="center"/>
            </w:pPr>
            <w:r>
              <w:t>2 (4.5)</w:t>
            </w:r>
          </w:p>
        </w:tc>
        <w:tc>
          <w:tcPr>
            <w:tcW w:w="2246" w:type="dxa"/>
          </w:tcPr>
          <w:p w14:paraId="524C1CD6" w14:textId="21AD1013" w:rsidR="00DB3F27" w:rsidRDefault="00DB3F27" w:rsidP="00DB3F27">
            <w:pPr>
              <w:jc w:val="center"/>
            </w:pPr>
            <w:r>
              <w:t>6.5 (5.0)</w:t>
            </w:r>
          </w:p>
        </w:tc>
      </w:tr>
      <w:tr w:rsidR="00DB3F27" w14:paraId="2D56C66B" w14:textId="77777777" w:rsidTr="00A3166E">
        <w:trPr>
          <w:jc w:val="center"/>
        </w:trPr>
        <w:tc>
          <w:tcPr>
            <w:tcW w:w="3505" w:type="dxa"/>
          </w:tcPr>
          <w:p w14:paraId="3A8D603D" w14:textId="11033679" w:rsidR="00DB3F27" w:rsidRDefault="00DB3F27" w:rsidP="00DB3F27">
            <w:r>
              <w:t>Oxycontin/Oxycodone</w:t>
            </w:r>
          </w:p>
        </w:tc>
        <w:tc>
          <w:tcPr>
            <w:tcW w:w="1449" w:type="dxa"/>
          </w:tcPr>
          <w:p w14:paraId="3403E974" w14:textId="434D87AA" w:rsidR="00DB3F27" w:rsidRDefault="00DB3F27" w:rsidP="00DB3F27">
            <w:pPr>
              <w:jc w:val="center"/>
            </w:pPr>
            <w:r>
              <w:t>2 (4.5)</w:t>
            </w:r>
          </w:p>
        </w:tc>
        <w:tc>
          <w:tcPr>
            <w:tcW w:w="2246" w:type="dxa"/>
          </w:tcPr>
          <w:p w14:paraId="5CB1D575" w14:textId="105A5815" w:rsidR="00DB3F27" w:rsidRDefault="00DB3F27" w:rsidP="00DB3F27">
            <w:pPr>
              <w:jc w:val="center"/>
            </w:pPr>
            <w:r>
              <w:t>14.0 (2.8)</w:t>
            </w:r>
          </w:p>
        </w:tc>
      </w:tr>
      <w:tr w:rsidR="00DB3F27" w14:paraId="7EEEC21A" w14:textId="77777777" w:rsidTr="00A3166E">
        <w:trPr>
          <w:jc w:val="center"/>
        </w:trPr>
        <w:tc>
          <w:tcPr>
            <w:tcW w:w="3505" w:type="dxa"/>
          </w:tcPr>
          <w:p w14:paraId="75AE40AB" w14:textId="7FBAC06E" w:rsidR="00DB3F27" w:rsidRDefault="00DB3F27" w:rsidP="00DB3F27">
            <w:r>
              <w:t>Morphine</w:t>
            </w:r>
          </w:p>
        </w:tc>
        <w:tc>
          <w:tcPr>
            <w:tcW w:w="1449" w:type="dxa"/>
          </w:tcPr>
          <w:p w14:paraId="00C228FC" w14:textId="21DD0E13" w:rsidR="00DB3F27" w:rsidRDefault="00DB3F27" w:rsidP="00DB3F27">
            <w:pPr>
              <w:jc w:val="center"/>
            </w:pPr>
            <w:r>
              <w:t>1 (2.3)</w:t>
            </w:r>
          </w:p>
        </w:tc>
        <w:tc>
          <w:tcPr>
            <w:tcW w:w="2246" w:type="dxa"/>
          </w:tcPr>
          <w:p w14:paraId="38F3E040" w14:textId="151FD1D9" w:rsidR="00DB3F27" w:rsidRDefault="00DB3F27" w:rsidP="00DB3F27">
            <w:pPr>
              <w:jc w:val="center"/>
            </w:pPr>
            <w:r>
              <w:t>8.0 (N/A)</w:t>
            </w:r>
          </w:p>
        </w:tc>
      </w:tr>
    </w:tbl>
    <w:p w14:paraId="4DC5A56B" w14:textId="77777777" w:rsidR="00B34F02" w:rsidRDefault="00B34F02" w:rsidP="00611274">
      <w:pPr>
        <w:spacing w:after="0" w:line="240" w:lineRule="auto"/>
      </w:pPr>
    </w:p>
    <w:p w14:paraId="73B6D055" w14:textId="75E61DA5" w:rsidR="00611274" w:rsidRDefault="00B1257B" w:rsidP="00611274">
      <w:pPr>
        <w:spacing w:after="0" w:line="240" w:lineRule="auto"/>
      </w:pPr>
      <w:r>
        <w:rPr>
          <w:b/>
          <w:bCs/>
          <w:i/>
          <w:iCs/>
        </w:rPr>
        <w:t>6-Month GPRAs.</w:t>
      </w:r>
      <w:r w:rsidRPr="00B1257B">
        <w:t xml:space="preserve"> </w:t>
      </w:r>
      <w:r w:rsidR="00D97279">
        <w:t>Between October 1, 2020 through September 30, 2021, a total of 389 contact attempts were made to complete 6-month GPRAs with 38 unique clients eligible to complete a 6-month GPRA.  Of these 38 eligible clients, 11 completed a 6-month GPRA (29%).  The evaluation team relied primarily on phone calls and text messages to reach clients and their contacts.  See Table 4 below for the number of contact attempts and methods used in total and per group.</w:t>
      </w:r>
    </w:p>
    <w:p w14:paraId="55F1701C" w14:textId="00215C19" w:rsidR="00611274" w:rsidRDefault="00611274" w:rsidP="004C01C1">
      <w:pPr>
        <w:spacing w:after="0" w:line="240" w:lineRule="auto"/>
        <w:jc w:val="center"/>
      </w:pPr>
    </w:p>
    <w:p w14:paraId="1AD6E095" w14:textId="5DCB4C4E" w:rsidR="004C01C1" w:rsidRPr="004C01C1" w:rsidRDefault="004C01C1" w:rsidP="004C01C1">
      <w:pPr>
        <w:spacing w:after="0" w:line="240" w:lineRule="auto"/>
        <w:jc w:val="center"/>
        <w:rPr>
          <w:b/>
          <w:bCs/>
        </w:rPr>
      </w:pPr>
      <w:r w:rsidRPr="004C01C1">
        <w:rPr>
          <w:b/>
          <w:bCs/>
        </w:rPr>
        <w:t xml:space="preserve">Table 4. </w:t>
      </w:r>
      <w:r>
        <w:rPr>
          <w:b/>
          <w:bCs/>
        </w:rPr>
        <w:t>Summary of Contact Attempts to Complete 6-Month GPRAs</w:t>
      </w:r>
    </w:p>
    <w:tbl>
      <w:tblPr>
        <w:tblStyle w:val="TableGrid"/>
        <w:tblW w:w="0" w:type="auto"/>
        <w:jc w:val="center"/>
        <w:tblLook w:val="04A0" w:firstRow="1" w:lastRow="0" w:firstColumn="1" w:lastColumn="0" w:noHBand="0" w:noVBand="1"/>
      </w:tblPr>
      <w:tblGrid>
        <w:gridCol w:w="2700"/>
        <w:gridCol w:w="1740"/>
        <w:gridCol w:w="1740"/>
        <w:gridCol w:w="1740"/>
      </w:tblGrid>
      <w:tr w:rsidR="00D97279" w:rsidRPr="001159DF" w14:paraId="7550996D" w14:textId="77777777" w:rsidTr="00F3287D">
        <w:trPr>
          <w:jc w:val="center"/>
        </w:trPr>
        <w:tc>
          <w:tcPr>
            <w:tcW w:w="2700" w:type="dxa"/>
            <w:vMerge w:val="restart"/>
            <w:shd w:val="clear" w:color="auto" w:fill="627D77" w:themeFill="background2"/>
            <w:vAlign w:val="bottom"/>
          </w:tcPr>
          <w:p w14:paraId="417605AC" w14:textId="77777777" w:rsidR="00D97279" w:rsidRPr="004C01C1" w:rsidRDefault="00D97279" w:rsidP="00021EC8">
            <w:pPr>
              <w:jc w:val="center"/>
              <w:rPr>
                <w:rFonts w:cstheme="minorHAnsi"/>
                <w:b/>
                <w:color w:val="FFFFFF" w:themeColor="background1"/>
              </w:rPr>
            </w:pPr>
            <w:r w:rsidRPr="004C01C1">
              <w:rPr>
                <w:rFonts w:cstheme="minorHAnsi"/>
                <w:b/>
                <w:color w:val="FFFFFF" w:themeColor="background1"/>
              </w:rPr>
              <w:t>Contact Method</w:t>
            </w:r>
          </w:p>
        </w:tc>
        <w:tc>
          <w:tcPr>
            <w:tcW w:w="5220" w:type="dxa"/>
            <w:gridSpan w:val="3"/>
            <w:shd w:val="clear" w:color="auto" w:fill="627D77" w:themeFill="background2"/>
          </w:tcPr>
          <w:p w14:paraId="67C46B2D" w14:textId="77777777" w:rsidR="00D97279" w:rsidRPr="004C01C1" w:rsidRDefault="00D97279" w:rsidP="00021EC8">
            <w:pPr>
              <w:jc w:val="center"/>
              <w:rPr>
                <w:rFonts w:cstheme="minorHAnsi"/>
                <w:b/>
                <w:color w:val="FFFFFF" w:themeColor="background1"/>
              </w:rPr>
            </w:pPr>
            <w:r w:rsidRPr="004C01C1">
              <w:rPr>
                <w:rFonts w:cstheme="minorHAnsi"/>
                <w:b/>
                <w:color w:val="FFFFFF" w:themeColor="background1"/>
              </w:rPr>
              <w:t>Number of Contact Attempts</w:t>
            </w:r>
          </w:p>
        </w:tc>
      </w:tr>
      <w:tr w:rsidR="00D97279" w:rsidRPr="001159DF" w14:paraId="52D13386" w14:textId="77777777" w:rsidTr="00F3287D">
        <w:trPr>
          <w:jc w:val="center"/>
        </w:trPr>
        <w:tc>
          <w:tcPr>
            <w:tcW w:w="2700" w:type="dxa"/>
            <w:vMerge/>
            <w:shd w:val="clear" w:color="auto" w:fill="627D77" w:themeFill="background2"/>
            <w:vAlign w:val="center"/>
          </w:tcPr>
          <w:p w14:paraId="301AE302" w14:textId="77777777" w:rsidR="00D97279" w:rsidRPr="004C01C1" w:rsidRDefault="00D97279" w:rsidP="00021EC8">
            <w:pPr>
              <w:jc w:val="center"/>
              <w:rPr>
                <w:rFonts w:cstheme="minorHAnsi"/>
                <w:b/>
                <w:color w:val="FFFFFF" w:themeColor="background1"/>
              </w:rPr>
            </w:pPr>
          </w:p>
        </w:tc>
        <w:tc>
          <w:tcPr>
            <w:tcW w:w="1740" w:type="dxa"/>
            <w:shd w:val="clear" w:color="auto" w:fill="627D77" w:themeFill="background2"/>
            <w:vAlign w:val="bottom"/>
          </w:tcPr>
          <w:p w14:paraId="128399AC" w14:textId="77777777" w:rsidR="00D97279" w:rsidRPr="004C01C1" w:rsidRDefault="00D97279" w:rsidP="00021EC8">
            <w:pPr>
              <w:jc w:val="center"/>
              <w:rPr>
                <w:rFonts w:cstheme="minorHAnsi"/>
                <w:b/>
                <w:color w:val="FFFFFF" w:themeColor="background1"/>
              </w:rPr>
            </w:pPr>
            <w:r w:rsidRPr="004C01C1">
              <w:rPr>
                <w:rFonts w:cstheme="minorHAnsi"/>
                <w:b/>
                <w:color w:val="FFFFFF" w:themeColor="background1"/>
              </w:rPr>
              <w:t>Total Eligible</w:t>
            </w:r>
          </w:p>
          <w:p w14:paraId="5DAB1C12" w14:textId="4F95DE3F" w:rsidR="00D97279" w:rsidRPr="004C01C1" w:rsidRDefault="00D97279" w:rsidP="00021EC8">
            <w:pPr>
              <w:jc w:val="center"/>
              <w:rPr>
                <w:rFonts w:cstheme="minorHAnsi"/>
                <w:b/>
                <w:color w:val="FFFFFF" w:themeColor="background1"/>
              </w:rPr>
            </w:pPr>
            <w:r w:rsidRPr="004C01C1">
              <w:rPr>
                <w:rFonts w:cstheme="minorHAnsi"/>
                <w:b/>
                <w:color w:val="FFFFFF" w:themeColor="background1"/>
              </w:rPr>
              <w:t>(</w:t>
            </w:r>
            <w:r w:rsidRPr="004C01C1">
              <w:rPr>
                <w:rFonts w:cstheme="minorHAnsi"/>
                <w:b/>
                <w:i/>
                <w:color w:val="FFFFFF" w:themeColor="background1"/>
              </w:rPr>
              <w:t>n</w:t>
            </w:r>
            <w:r w:rsidRPr="004C01C1">
              <w:rPr>
                <w:rFonts w:cstheme="minorHAnsi"/>
                <w:b/>
                <w:color w:val="FFFFFF" w:themeColor="background1"/>
              </w:rPr>
              <w:t xml:space="preserve"> = 38)</w:t>
            </w:r>
          </w:p>
        </w:tc>
        <w:tc>
          <w:tcPr>
            <w:tcW w:w="1740" w:type="dxa"/>
            <w:shd w:val="clear" w:color="auto" w:fill="627D77" w:themeFill="background2"/>
            <w:vAlign w:val="bottom"/>
          </w:tcPr>
          <w:p w14:paraId="0860CE69" w14:textId="77777777" w:rsidR="00D97279" w:rsidRPr="004C01C1" w:rsidRDefault="00D97279" w:rsidP="00021EC8">
            <w:pPr>
              <w:jc w:val="center"/>
              <w:rPr>
                <w:rFonts w:cstheme="minorHAnsi"/>
                <w:b/>
                <w:color w:val="FFFFFF" w:themeColor="background1"/>
              </w:rPr>
            </w:pPr>
            <w:r w:rsidRPr="004C01C1">
              <w:rPr>
                <w:rFonts w:cstheme="minorHAnsi"/>
                <w:b/>
                <w:color w:val="FFFFFF" w:themeColor="background1"/>
              </w:rPr>
              <w:t>Complete</w:t>
            </w:r>
          </w:p>
          <w:p w14:paraId="04DB4CE4" w14:textId="14805785" w:rsidR="00D97279" w:rsidRPr="004C01C1" w:rsidRDefault="00D97279" w:rsidP="00021EC8">
            <w:pPr>
              <w:jc w:val="center"/>
              <w:rPr>
                <w:rFonts w:cstheme="minorHAnsi"/>
                <w:b/>
                <w:color w:val="FFFFFF" w:themeColor="background1"/>
              </w:rPr>
            </w:pPr>
            <w:r w:rsidRPr="004C01C1">
              <w:rPr>
                <w:rFonts w:cstheme="minorHAnsi"/>
                <w:b/>
                <w:color w:val="FFFFFF" w:themeColor="background1"/>
              </w:rPr>
              <w:t>(</w:t>
            </w:r>
            <w:r w:rsidRPr="004C01C1">
              <w:rPr>
                <w:rFonts w:cstheme="minorHAnsi"/>
                <w:b/>
                <w:i/>
                <w:color w:val="FFFFFF" w:themeColor="background1"/>
              </w:rPr>
              <w:t>n</w:t>
            </w:r>
            <w:r w:rsidRPr="004C01C1">
              <w:rPr>
                <w:rFonts w:cstheme="minorHAnsi"/>
                <w:b/>
                <w:color w:val="FFFFFF" w:themeColor="background1"/>
              </w:rPr>
              <w:t xml:space="preserve"> = 11)</w:t>
            </w:r>
          </w:p>
        </w:tc>
        <w:tc>
          <w:tcPr>
            <w:tcW w:w="1740" w:type="dxa"/>
            <w:shd w:val="clear" w:color="auto" w:fill="627D77" w:themeFill="background2"/>
            <w:vAlign w:val="bottom"/>
          </w:tcPr>
          <w:p w14:paraId="6C2189E3" w14:textId="77777777" w:rsidR="00D97279" w:rsidRPr="004C01C1" w:rsidRDefault="00D97279" w:rsidP="00021EC8">
            <w:pPr>
              <w:jc w:val="center"/>
              <w:rPr>
                <w:rFonts w:cstheme="minorHAnsi"/>
                <w:b/>
                <w:color w:val="FFFFFF" w:themeColor="background1"/>
              </w:rPr>
            </w:pPr>
            <w:r w:rsidRPr="004C01C1">
              <w:rPr>
                <w:rFonts w:cstheme="minorHAnsi"/>
                <w:b/>
                <w:color w:val="FFFFFF" w:themeColor="background1"/>
              </w:rPr>
              <w:t>Not Complete</w:t>
            </w:r>
          </w:p>
          <w:p w14:paraId="5DB3B91B" w14:textId="4658B2D5" w:rsidR="00D97279" w:rsidRPr="004C01C1" w:rsidRDefault="00D97279" w:rsidP="00021EC8">
            <w:pPr>
              <w:jc w:val="center"/>
              <w:rPr>
                <w:rFonts w:cstheme="minorHAnsi"/>
                <w:b/>
                <w:color w:val="FFFFFF" w:themeColor="background1"/>
              </w:rPr>
            </w:pPr>
            <w:r w:rsidRPr="004C01C1">
              <w:rPr>
                <w:rFonts w:cstheme="minorHAnsi"/>
                <w:b/>
                <w:color w:val="FFFFFF" w:themeColor="background1"/>
              </w:rPr>
              <w:t>(</w:t>
            </w:r>
            <w:r w:rsidRPr="004C01C1">
              <w:rPr>
                <w:rFonts w:cstheme="minorHAnsi"/>
                <w:b/>
                <w:i/>
                <w:color w:val="FFFFFF" w:themeColor="background1"/>
              </w:rPr>
              <w:t>n</w:t>
            </w:r>
            <w:r w:rsidRPr="004C01C1">
              <w:rPr>
                <w:rFonts w:cstheme="minorHAnsi"/>
                <w:b/>
                <w:color w:val="FFFFFF" w:themeColor="background1"/>
              </w:rPr>
              <w:t xml:space="preserve"> = 27)</w:t>
            </w:r>
          </w:p>
        </w:tc>
      </w:tr>
      <w:tr w:rsidR="00D97279" w:rsidRPr="001159DF" w14:paraId="3FF64D9F" w14:textId="77777777" w:rsidTr="00F3287D">
        <w:trPr>
          <w:jc w:val="center"/>
        </w:trPr>
        <w:tc>
          <w:tcPr>
            <w:tcW w:w="2700" w:type="dxa"/>
          </w:tcPr>
          <w:p w14:paraId="3EB2790A" w14:textId="77777777" w:rsidR="00D97279" w:rsidRPr="001159DF" w:rsidRDefault="00D97279" w:rsidP="00021EC8">
            <w:pPr>
              <w:rPr>
                <w:rFonts w:cstheme="minorHAnsi"/>
              </w:rPr>
            </w:pPr>
            <w:r w:rsidRPr="001159DF">
              <w:rPr>
                <w:rFonts w:cstheme="minorHAnsi"/>
              </w:rPr>
              <w:t>Phone Calls</w:t>
            </w:r>
          </w:p>
        </w:tc>
        <w:tc>
          <w:tcPr>
            <w:tcW w:w="1740" w:type="dxa"/>
          </w:tcPr>
          <w:p w14:paraId="5FDA5AE9" w14:textId="0D91CFDE" w:rsidR="00D97279" w:rsidRPr="001159DF" w:rsidRDefault="00D97279" w:rsidP="00021EC8">
            <w:pPr>
              <w:jc w:val="center"/>
              <w:rPr>
                <w:rFonts w:cstheme="minorHAnsi"/>
              </w:rPr>
            </w:pPr>
            <w:r>
              <w:rPr>
                <w:rFonts w:cstheme="minorHAnsi"/>
              </w:rPr>
              <w:t>332</w:t>
            </w:r>
          </w:p>
        </w:tc>
        <w:tc>
          <w:tcPr>
            <w:tcW w:w="1740" w:type="dxa"/>
          </w:tcPr>
          <w:p w14:paraId="56DE7429" w14:textId="0804FC42" w:rsidR="00D97279" w:rsidRPr="001159DF" w:rsidRDefault="00D97279" w:rsidP="00021EC8">
            <w:pPr>
              <w:jc w:val="center"/>
              <w:rPr>
                <w:rFonts w:cstheme="minorHAnsi"/>
              </w:rPr>
            </w:pPr>
            <w:r>
              <w:rPr>
                <w:rFonts w:cstheme="minorHAnsi"/>
              </w:rPr>
              <w:t>63</w:t>
            </w:r>
          </w:p>
        </w:tc>
        <w:tc>
          <w:tcPr>
            <w:tcW w:w="1740" w:type="dxa"/>
          </w:tcPr>
          <w:p w14:paraId="2F1B28BB" w14:textId="067E3A41" w:rsidR="00D97279" w:rsidRPr="001159DF" w:rsidRDefault="00D97279" w:rsidP="00021EC8">
            <w:pPr>
              <w:jc w:val="center"/>
              <w:rPr>
                <w:rFonts w:cstheme="minorHAnsi"/>
              </w:rPr>
            </w:pPr>
            <w:r>
              <w:rPr>
                <w:rFonts w:cstheme="minorHAnsi"/>
              </w:rPr>
              <w:t>269</w:t>
            </w:r>
          </w:p>
        </w:tc>
      </w:tr>
      <w:tr w:rsidR="00D97279" w:rsidRPr="001159DF" w14:paraId="23DD18D6" w14:textId="77777777" w:rsidTr="00F3287D">
        <w:trPr>
          <w:jc w:val="center"/>
        </w:trPr>
        <w:tc>
          <w:tcPr>
            <w:tcW w:w="2700" w:type="dxa"/>
          </w:tcPr>
          <w:p w14:paraId="670CB5BC" w14:textId="77777777" w:rsidR="00D97279" w:rsidRPr="001159DF" w:rsidRDefault="00D97279" w:rsidP="00021EC8">
            <w:pPr>
              <w:rPr>
                <w:rFonts w:cstheme="minorHAnsi"/>
              </w:rPr>
            </w:pPr>
            <w:r w:rsidRPr="001159DF">
              <w:rPr>
                <w:rFonts w:cstheme="minorHAnsi"/>
              </w:rPr>
              <w:t>Text</w:t>
            </w:r>
          </w:p>
        </w:tc>
        <w:tc>
          <w:tcPr>
            <w:tcW w:w="1740" w:type="dxa"/>
          </w:tcPr>
          <w:p w14:paraId="6DA4D97E" w14:textId="7D60E252" w:rsidR="00D97279" w:rsidRPr="001159DF" w:rsidRDefault="00D97279" w:rsidP="00021EC8">
            <w:pPr>
              <w:jc w:val="center"/>
              <w:rPr>
                <w:rFonts w:cstheme="minorHAnsi"/>
              </w:rPr>
            </w:pPr>
            <w:r>
              <w:rPr>
                <w:rFonts w:cstheme="minorHAnsi"/>
              </w:rPr>
              <w:t>52</w:t>
            </w:r>
          </w:p>
        </w:tc>
        <w:tc>
          <w:tcPr>
            <w:tcW w:w="1740" w:type="dxa"/>
          </w:tcPr>
          <w:p w14:paraId="68389BB3" w14:textId="424E2DA5" w:rsidR="00D97279" w:rsidRPr="001159DF" w:rsidRDefault="00D97279" w:rsidP="00021EC8">
            <w:pPr>
              <w:jc w:val="center"/>
              <w:rPr>
                <w:rFonts w:cstheme="minorHAnsi"/>
              </w:rPr>
            </w:pPr>
            <w:r>
              <w:rPr>
                <w:rFonts w:cstheme="minorHAnsi"/>
              </w:rPr>
              <w:t>6</w:t>
            </w:r>
          </w:p>
        </w:tc>
        <w:tc>
          <w:tcPr>
            <w:tcW w:w="1740" w:type="dxa"/>
          </w:tcPr>
          <w:p w14:paraId="5EBA15A4" w14:textId="56CE1C52" w:rsidR="00D97279" w:rsidRPr="001159DF" w:rsidRDefault="00D97279" w:rsidP="00021EC8">
            <w:pPr>
              <w:jc w:val="center"/>
              <w:rPr>
                <w:rFonts w:cstheme="minorHAnsi"/>
              </w:rPr>
            </w:pPr>
            <w:r>
              <w:rPr>
                <w:rFonts w:cstheme="minorHAnsi"/>
              </w:rPr>
              <w:t>46</w:t>
            </w:r>
          </w:p>
        </w:tc>
      </w:tr>
      <w:tr w:rsidR="00D97279" w:rsidRPr="001159DF" w14:paraId="1D9CAA51" w14:textId="77777777" w:rsidTr="00F3287D">
        <w:trPr>
          <w:jc w:val="center"/>
        </w:trPr>
        <w:tc>
          <w:tcPr>
            <w:tcW w:w="2700" w:type="dxa"/>
          </w:tcPr>
          <w:p w14:paraId="75801979" w14:textId="23AA16D3" w:rsidR="00D97279" w:rsidRPr="001159DF" w:rsidRDefault="00D97279" w:rsidP="00D97279">
            <w:pPr>
              <w:rPr>
                <w:rFonts w:cstheme="minorHAnsi"/>
              </w:rPr>
            </w:pPr>
            <w:r w:rsidRPr="001159DF">
              <w:rPr>
                <w:rFonts w:cstheme="minorHAnsi"/>
              </w:rPr>
              <w:t>Email</w:t>
            </w:r>
          </w:p>
        </w:tc>
        <w:tc>
          <w:tcPr>
            <w:tcW w:w="1740" w:type="dxa"/>
          </w:tcPr>
          <w:p w14:paraId="4E5E251A" w14:textId="08D7650B" w:rsidR="00D97279" w:rsidRPr="001159DF" w:rsidRDefault="00D97279" w:rsidP="00D97279">
            <w:pPr>
              <w:jc w:val="center"/>
              <w:rPr>
                <w:rFonts w:cstheme="minorHAnsi"/>
              </w:rPr>
            </w:pPr>
            <w:r>
              <w:rPr>
                <w:rFonts w:cstheme="minorHAnsi"/>
              </w:rPr>
              <w:t>5</w:t>
            </w:r>
          </w:p>
        </w:tc>
        <w:tc>
          <w:tcPr>
            <w:tcW w:w="1740" w:type="dxa"/>
          </w:tcPr>
          <w:p w14:paraId="0CC230E3" w14:textId="4F3A5A18" w:rsidR="00D97279" w:rsidRDefault="00D97279" w:rsidP="00D97279">
            <w:pPr>
              <w:jc w:val="center"/>
              <w:rPr>
                <w:rFonts w:cstheme="minorHAnsi"/>
              </w:rPr>
            </w:pPr>
            <w:r>
              <w:rPr>
                <w:rFonts w:cstheme="minorHAnsi"/>
              </w:rPr>
              <w:t>0</w:t>
            </w:r>
          </w:p>
        </w:tc>
        <w:tc>
          <w:tcPr>
            <w:tcW w:w="1740" w:type="dxa"/>
          </w:tcPr>
          <w:p w14:paraId="10DA3129" w14:textId="0C9F2277" w:rsidR="00D97279" w:rsidRDefault="00D97279" w:rsidP="00D97279">
            <w:pPr>
              <w:jc w:val="center"/>
              <w:rPr>
                <w:rFonts w:cstheme="minorHAnsi"/>
              </w:rPr>
            </w:pPr>
            <w:r>
              <w:rPr>
                <w:rFonts w:cstheme="minorHAnsi"/>
              </w:rPr>
              <w:t>5</w:t>
            </w:r>
          </w:p>
        </w:tc>
      </w:tr>
      <w:tr w:rsidR="00D97279" w:rsidRPr="001159DF" w14:paraId="2EDC1601" w14:textId="77777777" w:rsidTr="00F3287D">
        <w:trPr>
          <w:jc w:val="center"/>
        </w:trPr>
        <w:tc>
          <w:tcPr>
            <w:tcW w:w="2700" w:type="dxa"/>
          </w:tcPr>
          <w:p w14:paraId="740E7E90" w14:textId="647F1E38" w:rsidR="00D97279" w:rsidRPr="001159DF" w:rsidRDefault="00D97279" w:rsidP="00D97279">
            <w:pPr>
              <w:rPr>
                <w:rFonts w:cstheme="minorHAnsi"/>
              </w:rPr>
            </w:pPr>
            <w:r w:rsidRPr="001159DF">
              <w:rPr>
                <w:rFonts w:cstheme="minorHAnsi"/>
              </w:rPr>
              <w:t>Mail</w:t>
            </w:r>
          </w:p>
        </w:tc>
        <w:tc>
          <w:tcPr>
            <w:tcW w:w="1740" w:type="dxa"/>
          </w:tcPr>
          <w:p w14:paraId="6B1A5CAF" w14:textId="4A4C1736" w:rsidR="00D97279" w:rsidRPr="001159DF" w:rsidRDefault="00D97279" w:rsidP="00D97279">
            <w:pPr>
              <w:jc w:val="center"/>
              <w:rPr>
                <w:rFonts w:cstheme="minorHAnsi"/>
              </w:rPr>
            </w:pPr>
            <w:r>
              <w:rPr>
                <w:rFonts w:cstheme="minorHAnsi"/>
              </w:rPr>
              <w:t>0</w:t>
            </w:r>
          </w:p>
        </w:tc>
        <w:tc>
          <w:tcPr>
            <w:tcW w:w="1740" w:type="dxa"/>
          </w:tcPr>
          <w:p w14:paraId="6D62A7DF" w14:textId="7BB727DA" w:rsidR="00D97279" w:rsidRPr="001159DF" w:rsidRDefault="00D97279" w:rsidP="00D97279">
            <w:pPr>
              <w:jc w:val="center"/>
              <w:rPr>
                <w:rFonts w:cstheme="minorHAnsi"/>
              </w:rPr>
            </w:pPr>
            <w:r>
              <w:rPr>
                <w:rFonts w:cstheme="minorHAnsi"/>
              </w:rPr>
              <w:t>0</w:t>
            </w:r>
          </w:p>
        </w:tc>
        <w:tc>
          <w:tcPr>
            <w:tcW w:w="1740" w:type="dxa"/>
          </w:tcPr>
          <w:p w14:paraId="7CCF116A" w14:textId="3C80CA69" w:rsidR="00D97279" w:rsidRPr="001159DF" w:rsidRDefault="00D97279" w:rsidP="00D97279">
            <w:pPr>
              <w:jc w:val="center"/>
              <w:rPr>
                <w:rFonts w:cstheme="minorHAnsi"/>
              </w:rPr>
            </w:pPr>
            <w:r>
              <w:rPr>
                <w:rFonts w:cstheme="minorHAnsi"/>
              </w:rPr>
              <w:t>0</w:t>
            </w:r>
          </w:p>
        </w:tc>
      </w:tr>
      <w:tr w:rsidR="00D97279" w:rsidRPr="001159DF" w14:paraId="0682F403" w14:textId="77777777" w:rsidTr="00F3287D">
        <w:trPr>
          <w:jc w:val="center"/>
        </w:trPr>
        <w:tc>
          <w:tcPr>
            <w:tcW w:w="2700" w:type="dxa"/>
          </w:tcPr>
          <w:p w14:paraId="4C450000" w14:textId="77777777" w:rsidR="00D97279" w:rsidRPr="001159DF" w:rsidRDefault="00D97279" w:rsidP="00D97279">
            <w:pPr>
              <w:rPr>
                <w:rFonts w:cstheme="minorHAnsi"/>
              </w:rPr>
            </w:pPr>
            <w:r w:rsidRPr="001159DF">
              <w:rPr>
                <w:rFonts w:cstheme="minorHAnsi"/>
              </w:rPr>
              <w:t>In-Person</w:t>
            </w:r>
          </w:p>
        </w:tc>
        <w:tc>
          <w:tcPr>
            <w:tcW w:w="1740" w:type="dxa"/>
          </w:tcPr>
          <w:p w14:paraId="0E1DDF76" w14:textId="64233FA4" w:rsidR="00D97279" w:rsidRPr="001159DF" w:rsidRDefault="00D97279" w:rsidP="00D97279">
            <w:pPr>
              <w:jc w:val="center"/>
              <w:rPr>
                <w:rFonts w:cstheme="minorHAnsi"/>
              </w:rPr>
            </w:pPr>
            <w:r>
              <w:rPr>
                <w:rFonts w:cstheme="minorHAnsi"/>
              </w:rPr>
              <w:t>0</w:t>
            </w:r>
          </w:p>
        </w:tc>
        <w:tc>
          <w:tcPr>
            <w:tcW w:w="1740" w:type="dxa"/>
          </w:tcPr>
          <w:p w14:paraId="2B127514" w14:textId="624F4815" w:rsidR="00D97279" w:rsidRPr="001159DF" w:rsidRDefault="00D97279" w:rsidP="00D97279">
            <w:pPr>
              <w:jc w:val="center"/>
              <w:rPr>
                <w:rFonts w:cstheme="minorHAnsi"/>
              </w:rPr>
            </w:pPr>
            <w:r>
              <w:rPr>
                <w:rFonts w:cstheme="minorHAnsi"/>
              </w:rPr>
              <w:t>0</w:t>
            </w:r>
          </w:p>
        </w:tc>
        <w:tc>
          <w:tcPr>
            <w:tcW w:w="1740" w:type="dxa"/>
          </w:tcPr>
          <w:p w14:paraId="7E22577B" w14:textId="6554A105" w:rsidR="00D97279" w:rsidRPr="001159DF" w:rsidRDefault="00D97279" w:rsidP="00D97279">
            <w:pPr>
              <w:jc w:val="center"/>
              <w:rPr>
                <w:rFonts w:cstheme="minorHAnsi"/>
              </w:rPr>
            </w:pPr>
            <w:r>
              <w:rPr>
                <w:rFonts w:cstheme="minorHAnsi"/>
              </w:rPr>
              <w:t>0</w:t>
            </w:r>
          </w:p>
        </w:tc>
      </w:tr>
      <w:tr w:rsidR="00D97279" w:rsidRPr="001159DF" w14:paraId="027578C6" w14:textId="77777777" w:rsidTr="00F3287D">
        <w:trPr>
          <w:jc w:val="center"/>
        </w:trPr>
        <w:tc>
          <w:tcPr>
            <w:tcW w:w="2700" w:type="dxa"/>
          </w:tcPr>
          <w:p w14:paraId="32518538" w14:textId="77777777" w:rsidR="00D97279" w:rsidRPr="001159DF" w:rsidRDefault="00D97279" w:rsidP="00D97279">
            <w:pPr>
              <w:rPr>
                <w:rFonts w:cstheme="minorHAnsi"/>
              </w:rPr>
            </w:pPr>
            <w:r w:rsidRPr="001159DF">
              <w:rPr>
                <w:rFonts w:cstheme="minorHAnsi"/>
              </w:rPr>
              <w:t>Social Media</w:t>
            </w:r>
          </w:p>
        </w:tc>
        <w:tc>
          <w:tcPr>
            <w:tcW w:w="1740" w:type="dxa"/>
          </w:tcPr>
          <w:p w14:paraId="7C708CC8" w14:textId="374D6C4B" w:rsidR="00D97279" w:rsidRPr="001159DF" w:rsidRDefault="00D97279" w:rsidP="00D97279">
            <w:pPr>
              <w:jc w:val="center"/>
              <w:rPr>
                <w:rFonts w:cstheme="minorHAnsi"/>
              </w:rPr>
            </w:pPr>
            <w:r>
              <w:rPr>
                <w:rFonts w:cstheme="minorHAnsi"/>
              </w:rPr>
              <w:t>0</w:t>
            </w:r>
          </w:p>
        </w:tc>
        <w:tc>
          <w:tcPr>
            <w:tcW w:w="1740" w:type="dxa"/>
          </w:tcPr>
          <w:p w14:paraId="04D5D3E3" w14:textId="40555696" w:rsidR="00D97279" w:rsidRPr="001159DF" w:rsidRDefault="00D97279" w:rsidP="00D97279">
            <w:pPr>
              <w:jc w:val="center"/>
              <w:rPr>
                <w:rFonts w:cstheme="minorHAnsi"/>
              </w:rPr>
            </w:pPr>
            <w:r>
              <w:rPr>
                <w:rFonts w:cstheme="minorHAnsi"/>
              </w:rPr>
              <w:t>0</w:t>
            </w:r>
          </w:p>
        </w:tc>
        <w:tc>
          <w:tcPr>
            <w:tcW w:w="1740" w:type="dxa"/>
          </w:tcPr>
          <w:p w14:paraId="1A2E6F6D" w14:textId="2046983C" w:rsidR="00D97279" w:rsidRPr="001159DF" w:rsidRDefault="00D97279" w:rsidP="00D97279">
            <w:pPr>
              <w:jc w:val="center"/>
              <w:rPr>
                <w:rFonts w:cstheme="minorHAnsi"/>
              </w:rPr>
            </w:pPr>
            <w:r>
              <w:rPr>
                <w:rFonts w:cstheme="minorHAnsi"/>
              </w:rPr>
              <w:t>0</w:t>
            </w:r>
          </w:p>
        </w:tc>
      </w:tr>
      <w:tr w:rsidR="00D97279" w:rsidRPr="001159DF" w14:paraId="447B59AB" w14:textId="77777777" w:rsidTr="00F3287D">
        <w:trPr>
          <w:jc w:val="center"/>
        </w:trPr>
        <w:tc>
          <w:tcPr>
            <w:tcW w:w="2700" w:type="dxa"/>
          </w:tcPr>
          <w:p w14:paraId="288C8003" w14:textId="3FE6A109" w:rsidR="00D97279" w:rsidRPr="001159DF" w:rsidRDefault="00D97279" w:rsidP="00D97279">
            <w:pPr>
              <w:rPr>
                <w:rFonts w:cstheme="minorHAnsi"/>
              </w:rPr>
            </w:pPr>
            <w:r w:rsidRPr="001159DF">
              <w:rPr>
                <w:rFonts w:cstheme="minorHAnsi"/>
              </w:rPr>
              <w:t>Other (e.g., online search)</w:t>
            </w:r>
          </w:p>
        </w:tc>
        <w:tc>
          <w:tcPr>
            <w:tcW w:w="1740" w:type="dxa"/>
          </w:tcPr>
          <w:p w14:paraId="3117C609" w14:textId="30403A6F" w:rsidR="00D97279" w:rsidRPr="001159DF" w:rsidRDefault="00D97279" w:rsidP="00D97279">
            <w:pPr>
              <w:jc w:val="center"/>
              <w:rPr>
                <w:rFonts w:cstheme="minorHAnsi"/>
              </w:rPr>
            </w:pPr>
            <w:r>
              <w:rPr>
                <w:rFonts w:cstheme="minorHAnsi"/>
              </w:rPr>
              <w:t>0</w:t>
            </w:r>
          </w:p>
        </w:tc>
        <w:tc>
          <w:tcPr>
            <w:tcW w:w="1740" w:type="dxa"/>
          </w:tcPr>
          <w:p w14:paraId="78152407" w14:textId="0DBCB030" w:rsidR="00D97279" w:rsidRDefault="00D97279" w:rsidP="00D97279">
            <w:pPr>
              <w:jc w:val="center"/>
              <w:rPr>
                <w:rFonts w:cstheme="minorHAnsi"/>
              </w:rPr>
            </w:pPr>
            <w:r>
              <w:rPr>
                <w:rFonts w:cstheme="minorHAnsi"/>
              </w:rPr>
              <w:t>0</w:t>
            </w:r>
          </w:p>
        </w:tc>
        <w:tc>
          <w:tcPr>
            <w:tcW w:w="1740" w:type="dxa"/>
          </w:tcPr>
          <w:p w14:paraId="5E141BCC" w14:textId="1ABFD3B8" w:rsidR="00D97279" w:rsidRDefault="00D97279" w:rsidP="00D97279">
            <w:pPr>
              <w:jc w:val="center"/>
              <w:rPr>
                <w:rFonts w:cstheme="minorHAnsi"/>
              </w:rPr>
            </w:pPr>
            <w:r>
              <w:rPr>
                <w:rFonts w:cstheme="minorHAnsi"/>
              </w:rPr>
              <w:t>0</w:t>
            </w:r>
          </w:p>
        </w:tc>
      </w:tr>
      <w:tr w:rsidR="00D97279" w:rsidRPr="001159DF" w14:paraId="75370D73" w14:textId="77777777" w:rsidTr="00F3287D">
        <w:trPr>
          <w:jc w:val="center"/>
        </w:trPr>
        <w:tc>
          <w:tcPr>
            <w:tcW w:w="2700" w:type="dxa"/>
            <w:shd w:val="clear" w:color="auto" w:fill="627D77" w:themeFill="background2"/>
          </w:tcPr>
          <w:p w14:paraId="4819D99A" w14:textId="77777777" w:rsidR="00D97279" w:rsidRPr="004C01C1" w:rsidRDefault="00D97279" w:rsidP="00D97279">
            <w:pPr>
              <w:jc w:val="center"/>
              <w:rPr>
                <w:rFonts w:cstheme="minorHAnsi"/>
                <w:b/>
                <w:color w:val="FFFFFF" w:themeColor="background1"/>
              </w:rPr>
            </w:pPr>
            <w:r w:rsidRPr="004C01C1">
              <w:rPr>
                <w:rFonts w:cstheme="minorHAnsi"/>
                <w:b/>
                <w:color w:val="FFFFFF" w:themeColor="background1"/>
              </w:rPr>
              <w:t>Total</w:t>
            </w:r>
          </w:p>
        </w:tc>
        <w:tc>
          <w:tcPr>
            <w:tcW w:w="1740" w:type="dxa"/>
            <w:shd w:val="clear" w:color="auto" w:fill="627D77" w:themeFill="background2"/>
          </w:tcPr>
          <w:p w14:paraId="22BDBB5E" w14:textId="21D42E03" w:rsidR="00D97279" w:rsidRPr="004C01C1" w:rsidRDefault="00D97279" w:rsidP="00D97279">
            <w:pPr>
              <w:jc w:val="center"/>
              <w:rPr>
                <w:rFonts w:cstheme="minorHAnsi"/>
                <w:b/>
                <w:color w:val="FFFFFF" w:themeColor="background1"/>
              </w:rPr>
            </w:pPr>
            <w:r w:rsidRPr="004C01C1">
              <w:rPr>
                <w:rFonts w:cstheme="minorHAnsi"/>
                <w:b/>
                <w:color w:val="FFFFFF" w:themeColor="background1"/>
              </w:rPr>
              <w:t>389</w:t>
            </w:r>
          </w:p>
        </w:tc>
        <w:tc>
          <w:tcPr>
            <w:tcW w:w="1740" w:type="dxa"/>
            <w:shd w:val="clear" w:color="auto" w:fill="627D77" w:themeFill="background2"/>
          </w:tcPr>
          <w:p w14:paraId="63C9D77E" w14:textId="159DBF77" w:rsidR="00D97279" w:rsidRPr="004C01C1" w:rsidRDefault="00D97279" w:rsidP="00D97279">
            <w:pPr>
              <w:jc w:val="center"/>
              <w:rPr>
                <w:rFonts w:cstheme="minorHAnsi"/>
                <w:b/>
                <w:color w:val="FFFFFF" w:themeColor="background1"/>
              </w:rPr>
            </w:pPr>
            <w:r w:rsidRPr="004C01C1">
              <w:rPr>
                <w:rFonts w:cstheme="minorHAnsi"/>
                <w:b/>
                <w:color w:val="FFFFFF" w:themeColor="background1"/>
              </w:rPr>
              <w:t>69</w:t>
            </w:r>
          </w:p>
        </w:tc>
        <w:tc>
          <w:tcPr>
            <w:tcW w:w="1740" w:type="dxa"/>
            <w:shd w:val="clear" w:color="auto" w:fill="627D77" w:themeFill="background2"/>
          </w:tcPr>
          <w:p w14:paraId="515CEE84" w14:textId="0BB40228" w:rsidR="00D97279" w:rsidRPr="004C01C1" w:rsidRDefault="00D97279" w:rsidP="00D97279">
            <w:pPr>
              <w:jc w:val="center"/>
              <w:rPr>
                <w:rFonts w:cstheme="minorHAnsi"/>
                <w:b/>
                <w:color w:val="FFFFFF" w:themeColor="background1"/>
              </w:rPr>
            </w:pPr>
            <w:r w:rsidRPr="004C01C1">
              <w:rPr>
                <w:rFonts w:cstheme="minorHAnsi"/>
                <w:b/>
                <w:color w:val="FFFFFF" w:themeColor="background1"/>
              </w:rPr>
              <w:t>320</w:t>
            </w:r>
          </w:p>
        </w:tc>
      </w:tr>
    </w:tbl>
    <w:p w14:paraId="43614416" w14:textId="41F6FE19" w:rsidR="00611274" w:rsidRDefault="00611274" w:rsidP="00611274">
      <w:pPr>
        <w:spacing w:after="0" w:line="240" w:lineRule="auto"/>
      </w:pPr>
    </w:p>
    <w:p w14:paraId="7A0EC8C7" w14:textId="0E3038A6" w:rsidR="00206732" w:rsidRDefault="00206732" w:rsidP="00611274">
      <w:pPr>
        <w:spacing w:after="0" w:line="240" w:lineRule="auto"/>
      </w:pPr>
      <w:r>
        <w:t>As illustrated in Table 5 and Figure 2 below, a client’s discharge status may affect 6-month GPRA completion rates.  The evaluation team was more successful at completing GPRAs with clients who successfully completed treatment compared to clients who left the program against facility advice or were administratively discharged.</w:t>
      </w:r>
    </w:p>
    <w:p w14:paraId="4AB01C3C" w14:textId="77777777" w:rsidR="00206732" w:rsidRDefault="00206732" w:rsidP="00611274">
      <w:pPr>
        <w:spacing w:after="0" w:line="240" w:lineRule="auto"/>
      </w:pPr>
    </w:p>
    <w:p w14:paraId="365853A2" w14:textId="692BF5DB" w:rsidR="006D1D7A" w:rsidRPr="006D1D7A" w:rsidRDefault="006D1D7A" w:rsidP="006D1D7A">
      <w:pPr>
        <w:spacing w:after="0" w:line="240" w:lineRule="auto"/>
        <w:jc w:val="center"/>
        <w:rPr>
          <w:b/>
          <w:bCs/>
        </w:rPr>
      </w:pPr>
      <w:r>
        <w:rPr>
          <w:b/>
          <w:bCs/>
        </w:rPr>
        <w:t>Table 5. Discharge Status for Clients Eligible for 6-Month GPRA</w:t>
      </w:r>
    </w:p>
    <w:tbl>
      <w:tblPr>
        <w:tblStyle w:val="TableGrid"/>
        <w:tblW w:w="0" w:type="auto"/>
        <w:tblInd w:w="535" w:type="dxa"/>
        <w:tblLook w:val="04A0" w:firstRow="1" w:lastRow="0" w:firstColumn="1" w:lastColumn="0" w:noHBand="0" w:noVBand="1"/>
      </w:tblPr>
      <w:tblGrid>
        <w:gridCol w:w="2986"/>
        <w:gridCol w:w="1564"/>
        <w:gridCol w:w="1564"/>
        <w:gridCol w:w="1564"/>
      </w:tblGrid>
      <w:tr w:rsidR="006D1D7A" w:rsidRPr="001159DF" w14:paraId="5A4210C6" w14:textId="77777777" w:rsidTr="006D1D7A">
        <w:trPr>
          <w:trHeight w:val="252"/>
        </w:trPr>
        <w:tc>
          <w:tcPr>
            <w:tcW w:w="2986" w:type="dxa"/>
            <w:vMerge w:val="restart"/>
            <w:shd w:val="clear" w:color="auto" w:fill="627D77" w:themeFill="background2"/>
            <w:vAlign w:val="bottom"/>
          </w:tcPr>
          <w:p w14:paraId="758D3807" w14:textId="77777777" w:rsidR="006D1D7A" w:rsidRPr="006D1D7A" w:rsidRDefault="006D1D7A" w:rsidP="0086626C">
            <w:pPr>
              <w:jc w:val="center"/>
              <w:rPr>
                <w:rFonts w:cstheme="minorHAnsi"/>
                <w:b/>
                <w:color w:val="FFFFFF" w:themeColor="background1"/>
              </w:rPr>
            </w:pPr>
            <w:r w:rsidRPr="006D1D7A">
              <w:rPr>
                <w:rFonts w:cstheme="minorHAnsi"/>
                <w:b/>
                <w:color w:val="FFFFFF" w:themeColor="background1"/>
              </w:rPr>
              <w:t>Discharge Type</w:t>
            </w:r>
          </w:p>
        </w:tc>
        <w:tc>
          <w:tcPr>
            <w:tcW w:w="4692" w:type="dxa"/>
            <w:gridSpan w:val="3"/>
            <w:shd w:val="clear" w:color="auto" w:fill="627D77" w:themeFill="background2"/>
          </w:tcPr>
          <w:p w14:paraId="45AB5E00" w14:textId="77777777" w:rsidR="006D1D7A" w:rsidRPr="006D1D7A" w:rsidRDefault="006D1D7A" w:rsidP="0086626C">
            <w:pPr>
              <w:jc w:val="center"/>
              <w:rPr>
                <w:rFonts w:cstheme="minorHAnsi"/>
                <w:b/>
                <w:color w:val="FFFFFF" w:themeColor="background1"/>
              </w:rPr>
            </w:pPr>
            <w:r w:rsidRPr="006D1D7A">
              <w:rPr>
                <w:rFonts w:cstheme="minorHAnsi"/>
                <w:b/>
                <w:color w:val="FFFFFF" w:themeColor="background1"/>
              </w:rPr>
              <w:t>Number of Clients</w:t>
            </w:r>
          </w:p>
        </w:tc>
      </w:tr>
      <w:tr w:rsidR="006D1D7A" w:rsidRPr="001159DF" w14:paraId="5E2BF0F3" w14:textId="77777777" w:rsidTr="006D1D7A">
        <w:trPr>
          <w:trHeight w:val="526"/>
        </w:trPr>
        <w:tc>
          <w:tcPr>
            <w:tcW w:w="2986" w:type="dxa"/>
            <w:vMerge/>
            <w:shd w:val="clear" w:color="auto" w:fill="627D77" w:themeFill="background2"/>
            <w:vAlign w:val="center"/>
          </w:tcPr>
          <w:p w14:paraId="338A4F8D" w14:textId="77777777" w:rsidR="006D1D7A" w:rsidRPr="006D1D7A" w:rsidRDefault="006D1D7A" w:rsidP="0086626C">
            <w:pPr>
              <w:jc w:val="center"/>
              <w:rPr>
                <w:rFonts w:cstheme="minorHAnsi"/>
                <w:b/>
                <w:color w:val="FFFFFF" w:themeColor="background1"/>
              </w:rPr>
            </w:pPr>
          </w:p>
        </w:tc>
        <w:tc>
          <w:tcPr>
            <w:tcW w:w="1564" w:type="dxa"/>
            <w:shd w:val="clear" w:color="auto" w:fill="627D77" w:themeFill="background2"/>
            <w:vAlign w:val="bottom"/>
          </w:tcPr>
          <w:p w14:paraId="5C1AA2F9" w14:textId="77777777" w:rsidR="006D1D7A" w:rsidRPr="006D1D7A" w:rsidRDefault="006D1D7A" w:rsidP="0086626C">
            <w:pPr>
              <w:jc w:val="center"/>
              <w:rPr>
                <w:rFonts w:cstheme="minorHAnsi"/>
                <w:b/>
                <w:color w:val="FFFFFF" w:themeColor="background1"/>
              </w:rPr>
            </w:pPr>
            <w:r w:rsidRPr="006D1D7A">
              <w:rPr>
                <w:rFonts w:cstheme="minorHAnsi"/>
                <w:b/>
                <w:color w:val="FFFFFF" w:themeColor="background1"/>
              </w:rPr>
              <w:t>Total Eligible</w:t>
            </w:r>
          </w:p>
          <w:p w14:paraId="04EB00A1" w14:textId="77777777" w:rsidR="006D1D7A" w:rsidRPr="006D1D7A" w:rsidRDefault="006D1D7A" w:rsidP="0086626C">
            <w:pPr>
              <w:jc w:val="center"/>
              <w:rPr>
                <w:rFonts w:cstheme="minorHAnsi"/>
                <w:b/>
                <w:color w:val="FFFFFF" w:themeColor="background1"/>
              </w:rPr>
            </w:pPr>
            <w:r w:rsidRPr="006D1D7A">
              <w:rPr>
                <w:rFonts w:cstheme="minorHAnsi"/>
                <w:b/>
                <w:color w:val="FFFFFF" w:themeColor="background1"/>
              </w:rPr>
              <w:t>(</w:t>
            </w:r>
            <w:r w:rsidRPr="006D1D7A">
              <w:rPr>
                <w:rFonts w:cstheme="minorHAnsi"/>
                <w:b/>
                <w:i/>
                <w:color w:val="FFFFFF" w:themeColor="background1"/>
              </w:rPr>
              <w:t>n</w:t>
            </w:r>
            <w:r w:rsidRPr="006D1D7A">
              <w:rPr>
                <w:rFonts w:cstheme="minorHAnsi"/>
                <w:b/>
                <w:color w:val="FFFFFF" w:themeColor="background1"/>
              </w:rPr>
              <w:t xml:space="preserve"> = 38)</w:t>
            </w:r>
          </w:p>
        </w:tc>
        <w:tc>
          <w:tcPr>
            <w:tcW w:w="1564" w:type="dxa"/>
            <w:shd w:val="clear" w:color="auto" w:fill="627D77" w:themeFill="background2"/>
            <w:vAlign w:val="bottom"/>
          </w:tcPr>
          <w:p w14:paraId="4683CF9E" w14:textId="77777777" w:rsidR="006D1D7A" w:rsidRPr="006D1D7A" w:rsidRDefault="006D1D7A" w:rsidP="0086626C">
            <w:pPr>
              <w:jc w:val="center"/>
              <w:rPr>
                <w:rFonts w:cstheme="minorHAnsi"/>
                <w:b/>
                <w:color w:val="FFFFFF" w:themeColor="background1"/>
              </w:rPr>
            </w:pPr>
            <w:r w:rsidRPr="006D1D7A">
              <w:rPr>
                <w:rFonts w:cstheme="minorHAnsi"/>
                <w:b/>
                <w:color w:val="FFFFFF" w:themeColor="background1"/>
              </w:rPr>
              <w:t>Complete</w:t>
            </w:r>
          </w:p>
          <w:p w14:paraId="49C0C3E7" w14:textId="77777777" w:rsidR="006D1D7A" w:rsidRPr="006D1D7A" w:rsidRDefault="006D1D7A" w:rsidP="0086626C">
            <w:pPr>
              <w:jc w:val="center"/>
              <w:rPr>
                <w:rFonts w:cstheme="minorHAnsi"/>
                <w:b/>
                <w:color w:val="FFFFFF" w:themeColor="background1"/>
              </w:rPr>
            </w:pPr>
            <w:r w:rsidRPr="006D1D7A">
              <w:rPr>
                <w:rFonts w:cstheme="minorHAnsi"/>
                <w:b/>
                <w:color w:val="FFFFFF" w:themeColor="background1"/>
              </w:rPr>
              <w:t>(</w:t>
            </w:r>
            <w:r w:rsidRPr="006D1D7A">
              <w:rPr>
                <w:rFonts w:cstheme="minorHAnsi"/>
                <w:b/>
                <w:i/>
                <w:color w:val="FFFFFF" w:themeColor="background1"/>
              </w:rPr>
              <w:t>n</w:t>
            </w:r>
            <w:r w:rsidRPr="006D1D7A">
              <w:rPr>
                <w:rFonts w:cstheme="minorHAnsi"/>
                <w:b/>
                <w:color w:val="FFFFFF" w:themeColor="background1"/>
              </w:rPr>
              <w:t xml:space="preserve"> = 11)</w:t>
            </w:r>
          </w:p>
        </w:tc>
        <w:tc>
          <w:tcPr>
            <w:tcW w:w="1564" w:type="dxa"/>
            <w:shd w:val="clear" w:color="auto" w:fill="627D77" w:themeFill="background2"/>
            <w:vAlign w:val="bottom"/>
          </w:tcPr>
          <w:p w14:paraId="03285727" w14:textId="77777777" w:rsidR="006D1D7A" w:rsidRPr="006D1D7A" w:rsidRDefault="006D1D7A" w:rsidP="0086626C">
            <w:pPr>
              <w:jc w:val="center"/>
              <w:rPr>
                <w:rFonts w:cstheme="minorHAnsi"/>
                <w:b/>
                <w:color w:val="FFFFFF" w:themeColor="background1"/>
              </w:rPr>
            </w:pPr>
            <w:r w:rsidRPr="006D1D7A">
              <w:rPr>
                <w:rFonts w:cstheme="minorHAnsi"/>
                <w:b/>
                <w:color w:val="FFFFFF" w:themeColor="background1"/>
              </w:rPr>
              <w:t>Not Complete</w:t>
            </w:r>
          </w:p>
          <w:p w14:paraId="3DA42BAA" w14:textId="77777777" w:rsidR="006D1D7A" w:rsidRPr="006D1D7A" w:rsidRDefault="006D1D7A" w:rsidP="0086626C">
            <w:pPr>
              <w:jc w:val="center"/>
              <w:rPr>
                <w:rFonts w:cstheme="minorHAnsi"/>
                <w:b/>
                <w:color w:val="FFFFFF" w:themeColor="background1"/>
              </w:rPr>
            </w:pPr>
            <w:r w:rsidRPr="006D1D7A">
              <w:rPr>
                <w:rFonts w:cstheme="minorHAnsi"/>
                <w:b/>
                <w:color w:val="FFFFFF" w:themeColor="background1"/>
              </w:rPr>
              <w:t>(</w:t>
            </w:r>
            <w:r w:rsidRPr="006D1D7A">
              <w:rPr>
                <w:rFonts w:cstheme="minorHAnsi"/>
                <w:b/>
                <w:i/>
                <w:color w:val="FFFFFF" w:themeColor="background1"/>
              </w:rPr>
              <w:t>n</w:t>
            </w:r>
            <w:r w:rsidRPr="006D1D7A">
              <w:rPr>
                <w:rFonts w:cstheme="minorHAnsi"/>
                <w:b/>
                <w:color w:val="FFFFFF" w:themeColor="background1"/>
              </w:rPr>
              <w:t xml:space="preserve"> = 27)</w:t>
            </w:r>
          </w:p>
        </w:tc>
      </w:tr>
      <w:tr w:rsidR="006D1D7A" w:rsidRPr="001159DF" w14:paraId="494A6EFD" w14:textId="77777777" w:rsidTr="0086626C">
        <w:trPr>
          <w:trHeight w:val="252"/>
        </w:trPr>
        <w:tc>
          <w:tcPr>
            <w:tcW w:w="2986" w:type="dxa"/>
          </w:tcPr>
          <w:p w14:paraId="56C7831A" w14:textId="77777777" w:rsidR="006D1D7A" w:rsidRPr="001159DF" w:rsidRDefault="006D1D7A" w:rsidP="0086626C">
            <w:pPr>
              <w:rPr>
                <w:rFonts w:cstheme="minorHAnsi"/>
              </w:rPr>
            </w:pPr>
            <w:r w:rsidRPr="001159DF">
              <w:rPr>
                <w:rFonts w:cstheme="minorHAnsi"/>
              </w:rPr>
              <w:t>Against Facility Advice</w:t>
            </w:r>
          </w:p>
        </w:tc>
        <w:tc>
          <w:tcPr>
            <w:tcW w:w="1564" w:type="dxa"/>
          </w:tcPr>
          <w:p w14:paraId="3EFD5AB5" w14:textId="77777777" w:rsidR="006D1D7A" w:rsidRPr="001159DF" w:rsidRDefault="006D1D7A" w:rsidP="0086626C">
            <w:pPr>
              <w:jc w:val="center"/>
              <w:rPr>
                <w:rFonts w:cstheme="minorHAnsi"/>
              </w:rPr>
            </w:pPr>
            <w:r>
              <w:rPr>
                <w:rFonts w:cstheme="minorHAnsi"/>
              </w:rPr>
              <w:t>16</w:t>
            </w:r>
          </w:p>
        </w:tc>
        <w:tc>
          <w:tcPr>
            <w:tcW w:w="1564" w:type="dxa"/>
          </w:tcPr>
          <w:p w14:paraId="188D9890" w14:textId="77777777" w:rsidR="006D1D7A" w:rsidRPr="001159DF" w:rsidRDefault="006D1D7A" w:rsidP="0086626C">
            <w:pPr>
              <w:jc w:val="center"/>
              <w:rPr>
                <w:rFonts w:cstheme="minorHAnsi"/>
              </w:rPr>
            </w:pPr>
            <w:r>
              <w:rPr>
                <w:rFonts w:cstheme="minorHAnsi"/>
              </w:rPr>
              <w:t>2</w:t>
            </w:r>
          </w:p>
        </w:tc>
        <w:tc>
          <w:tcPr>
            <w:tcW w:w="1564" w:type="dxa"/>
          </w:tcPr>
          <w:p w14:paraId="0B2298BE" w14:textId="77777777" w:rsidR="006D1D7A" w:rsidRPr="001159DF" w:rsidRDefault="006D1D7A" w:rsidP="0086626C">
            <w:pPr>
              <w:jc w:val="center"/>
              <w:rPr>
                <w:rFonts w:cstheme="minorHAnsi"/>
              </w:rPr>
            </w:pPr>
            <w:r>
              <w:rPr>
                <w:rFonts w:cstheme="minorHAnsi"/>
              </w:rPr>
              <w:t>14</w:t>
            </w:r>
          </w:p>
        </w:tc>
      </w:tr>
      <w:tr w:rsidR="006D1D7A" w:rsidRPr="001159DF" w14:paraId="3FF59668" w14:textId="77777777" w:rsidTr="0086626C">
        <w:trPr>
          <w:trHeight w:val="252"/>
        </w:trPr>
        <w:tc>
          <w:tcPr>
            <w:tcW w:w="2986" w:type="dxa"/>
          </w:tcPr>
          <w:p w14:paraId="4790C211" w14:textId="344DB3F1" w:rsidR="006D1D7A" w:rsidRPr="001159DF" w:rsidRDefault="006D1D7A" w:rsidP="006D1D7A">
            <w:pPr>
              <w:rPr>
                <w:rFonts w:cstheme="minorHAnsi"/>
              </w:rPr>
            </w:pPr>
            <w:r w:rsidRPr="001159DF">
              <w:rPr>
                <w:rFonts w:cstheme="minorHAnsi"/>
              </w:rPr>
              <w:t>Administrative Discharge</w:t>
            </w:r>
          </w:p>
        </w:tc>
        <w:tc>
          <w:tcPr>
            <w:tcW w:w="1564" w:type="dxa"/>
          </w:tcPr>
          <w:p w14:paraId="1771DE12" w14:textId="23FD030A" w:rsidR="006D1D7A" w:rsidRPr="001159DF" w:rsidRDefault="006D1D7A" w:rsidP="006D1D7A">
            <w:pPr>
              <w:jc w:val="center"/>
              <w:rPr>
                <w:rFonts w:cstheme="minorHAnsi"/>
              </w:rPr>
            </w:pPr>
            <w:r>
              <w:rPr>
                <w:rFonts w:cstheme="minorHAnsi"/>
              </w:rPr>
              <w:t>11</w:t>
            </w:r>
          </w:p>
        </w:tc>
        <w:tc>
          <w:tcPr>
            <w:tcW w:w="1564" w:type="dxa"/>
          </w:tcPr>
          <w:p w14:paraId="06610E7E" w14:textId="3C6A4BFB" w:rsidR="006D1D7A" w:rsidRPr="001159DF" w:rsidRDefault="006D1D7A" w:rsidP="006D1D7A">
            <w:pPr>
              <w:jc w:val="center"/>
              <w:rPr>
                <w:rFonts w:cstheme="minorHAnsi"/>
              </w:rPr>
            </w:pPr>
            <w:r>
              <w:rPr>
                <w:rFonts w:cstheme="minorHAnsi"/>
              </w:rPr>
              <w:t>4</w:t>
            </w:r>
          </w:p>
        </w:tc>
        <w:tc>
          <w:tcPr>
            <w:tcW w:w="1564" w:type="dxa"/>
          </w:tcPr>
          <w:p w14:paraId="5475A2DB" w14:textId="54F1C29C" w:rsidR="006D1D7A" w:rsidRPr="001159DF" w:rsidRDefault="006D1D7A" w:rsidP="006D1D7A">
            <w:pPr>
              <w:jc w:val="center"/>
              <w:rPr>
                <w:rFonts w:cstheme="minorHAnsi"/>
              </w:rPr>
            </w:pPr>
            <w:r>
              <w:rPr>
                <w:rFonts w:cstheme="minorHAnsi"/>
              </w:rPr>
              <w:t>7</w:t>
            </w:r>
          </w:p>
        </w:tc>
      </w:tr>
      <w:tr w:rsidR="006D1D7A" w:rsidRPr="001159DF" w14:paraId="33A9CB8C" w14:textId="77777777" w:rsidTr="0086626C">
        <w:trPr>
          <w:trHeight w:val="252"/>
        </w:trPr>
        <w:tc>
          <w:tcPr>
            <w:tcW w:w="2986" w:type="dxa"/>
          </w:tcPr>
          <w:p w14:paraId="596B2C7C" w14:textId="1400DEB9" w:rsidR="006D1D7A" w:rsidRPr="001159DF" w:rsidRDefault="006D1D7A" w:rsidP="006D1D7A">
            <w:pPr>
              <w:rPr>
                <w:rFonts w:cstheme="minorHAnsi"/>
              </w:rPr>
            </w:pPr>
            <w:r w:rsidRPr="001159DF">
              <w:rPr>
                <w:rFonts w:cstheme="minorHAnsi"/>
              </w:rPr>
              <w:t>Completed Treatment</w:t>
            </w:r>
          </w:p>
        </w:tc>
        <w:tc>
          <w:tcPr>
            <w:tcW w:w="1564" w:type="dxa"/>
          </w:tcPr>
          <w:p w14:paraId="7F967167" w14:textId="006D2592" w:rsidR="006D1D7A" w:rsidRDefault="006D1D7A" w:rsidP="006D1D7A">
            <w:pPr>
              <w:jc w:val="center"/>
              <w:rPr>
                <w:rFonts w:cstheme="minorHAnsi"/>
              </w:rPr>
            </w:pPr>
            <w:r>
              <w:rPr>
                <w:rFonts w:cstheme="minorHAnsi"/>
              </w:rPr>
              <w:t>8</w:t>
            </w:r>
          </w:p>
        </w:tc>
        <w:tc>
          <w:tcPr>
            <w:tcW w:w="1564" w:type="dxa"/>
          </w:tcPr>
          <w:p w14:paraId="49896CE3" w14:textId="7646F4A7" w:rsidR="006D1D7A" w:rsidRDefault="006D1D7A" w:rsidP="006D1D7A">
            <w:pPr>
              <w:jc w:val="center"/>
              <w:rPr>
                <w:rFonts w:cstheme="minorHAnsi"/>
              </w:rPr>
            </w:pPr>
            <w:r>
              <w:rPr>
                <w:rFonts w:cstheme="minorHAnsi"/>
              </w:rPr>
              <w:t>5</w:t>
            </w:r>
          </w:p>
        </w:tc>
        <w:tc>
          <w:tcPr>
            <w:tcW w:w="1564" w:type="dxa"/>
          </w:tcPr>
          <w:p w14:paraId="38230CAB" w14:textId="1B24A7BA" w:rsidR="006D1D7A" w:rsidRDefault="006D1D7A" w:rsidP="006D1D7A">
            <w:pPr>
              <w:jc w:val="center"/>
              <w:rPr>
                <w:rFonts w:cstheme="minorHAnsi"/>
              </w:rPr>
            </w:pPr>
            <w:r>
              <w:rPr>
                <w:rFonts w:cstheme="minorHAnsi"/>
              </w:rPr>
              <w:t>3</w:t>
            </w:r>
          </w:p>
        </w:tc>
      </w:tr>
      <w:tr w:rsidR="006D1D7A" w:rsidRPr="001159DF" w14:paraId="0DB2774F" w14:textId="77777777" w:rsidTr="0086626C">
        <w:trPr>
          <w:trHeight w:val="252"/>
        </w:trPr>
        <w:tc>
          <w:tcPr>
            <w:tcW w:w="2986" w:type="dxa"/>
          </w:tcPr>
          <w:p w14:paraId="20945258" w14:textId="77777777" w:rsidR="006D1D7A" w:rsidRPr="001159DF" w:rsidRDefault="006D1D7A" w:rsidP="006D1D7A">
            <w:pPr>
              <w:rPr>
                <w:rFonts w:cstheme="minorHAnsi"/>
              </w:rPr>
            </w:pPr>
            <w:r w:rsidRPr="001159DF">
              <w:rPr>
                <w:rFonts w:cstheme="minorHAnsi"/>
              </w:rPr>
              <w:t>Transfer</w:t>
            </w:r>
          </w:p>
        </w:tc>
        <w:tc>
          <w:tcPr>
            <w:tcW w:w="1564" w:type="dxa"/>
          </w:tcPr>
          <w:p w14:paraId="7527CE2F" w14:textId="77777777" w:rsidR="006D1D7A" w:rsidRDefault="006D1D7A" w:rsidP="006D1D7A">
            <w:pPr>
              <w:jc w:val="center"/>
              <w:rPr>
                <w:rFonts w:cstheme="minorHAnsi"/>
              </w:rPr>
            </w:pPr>
            <w:r>
              <w:rPr>
                <w:rFonts w:cstheme="minorHAnsi"/>
              </w:rPr>
              <w:t>3</w:t>
            </w:r>
          </w:p>
        </w:tc>
        <w:tc>
          <w:tcPr>
            <w:tcW w:w="1564" w:type="dxa"/>
          </w:tcPr>
          <w:p w14:paraId="131DE793" w14:textId="77777777" w:rsidR="006D1D7A" w:rsidRDefault="006D1D7A" w:rsidP="006D1D7A">
            <w:pPr>
              <w:jc w:val="center"/>
              <w:rPr>
                <w:rFonts w:cstheme="minorHAnsi"/>
              </w:rPr>
            </w:pPr>
            <w:r>
              <w:rPr>
                <w:rFonts w:cstheme="minorHAnsi"/>
              </w:rPr>
              <w:t>0</w:t>
            </w:r>
          </w:p>
        </w:tc>
        <w:tc>
          <w:tcPr>
            <w:tcW w:w="1564" w:type="dxa"/>
          </w:tcPr>
          <w:p w14:paraId="7D49A7AC" w14:textId="77777777" w:rsidR="006D1D7A" w:rsidRDefault="006D1D7A" w:rsidP="006D1D7A">
            <w:pPr>
              <w:jc w:val="center"/>
              <w:rPr>
                <w:rFonts w:cstheme="minorHAnsi"/>
              </w:rPr>
            </w:pPr>
            <w:r>
              <w:rPr>
                <w:rFonts w:cstheme="minorHAnsi"/>
              </w:rPr>
              <w:t>3</w:t>
            </w:r>
          </w:p>
        </w:tc>
      </w:tr>
      <w:tr w:rsidR="006D1D7A" w:rsidRPr="001159DF" w14:paraId="4FE3BDAA" w14:textId="77777777" w:rsidTr="006D1D7A">
        <w:trPr>
          <w:trHeight w:val="252"/>
        </w:trPr>
        <w:tc>
          <w:tcPr>
            <w:tcW w:w="2986" w:type="dxa"/>
            <w:shd w:val="clear" w:color="auto" w:fill="627D77" w:themeFill="background2"/>
          </w:tcPr>
          <w:p w14:paraId="1297D510" w14:textId="77777777" w:rsidR="006D1D7A" w:rsidRPr="006D1D7A" w:rsidRDefault="006D1D7A" w:rsidP="006D1D7A">
            <w:pPr>
              <w:jc w:val="center"/>
              <w:rPr>
                <w:rFonts w:cstheme="minorHAnsi"/>
                <w:b/>
                <w:color w:val="FFFFFF" w:themeColor="background1"/>
              </w:rPr>
            </w:pPr>
            <w:r w:rsidRPr="006D1D7A">
              <w:rPr>
                <w:rFonts w:cstheme="minorHAnsi"/>
                <w:b/>
                <w:color w:val="FFFFFF" w:themeColor="background1"/>
              </w:rPr>
              <w:t>Total</w:t>
            </w:r>
          </w:p>
        </w:tc>
        <w:tc>
          <w:tcPr>
            <w:tcW w:w="1564" w:type="dxa"/>
            <w:shd w:val="clear" w:color="auto" w:fill="627D77" w:themeFill="background2"/>
          </w:tcPr>
          <w:p w14:paraId="65D5859A" w14:textId="77777777" w:rsidR="006D1D7A" w:rsidRPr="006D1D7A" w:rsidRDefault="006D1D7A" w:rsidP="006D1D7A">
            <w:pPr>
              <w:jc w:val="center"/>
              <w:rPr>
                <w:rFonts w:cstheme="minorHAnsi"/>
                <w:b/>
                <w:color w:val="FFFFFF" w:themeColor="background1"/>
              </w:rPr>
            </w:pPr>
            <w:r w:rsidRPr="006D1D7A">
              <w:rPr>
                <w:rFonts w:cstheme="minorHAnsi"/>
                <w:b/>
                <w:color w:val="FFFFFF" w:themeColor="background1"/>
              </w:rPr>
              <w:t>38</w:t>
            </w:r>
          </w:p>
        </w:tc>
        <w:tc>
          <w:tcPr>
            <w:tcW w:w="1564" w:type="dxa"/>
            <w:shd w:val="clear" w:color="auto" w:fill="627D77" w:themeFill="background2"/>
          </w:tcPr>
          <w:p w14:paraId="4B734707" w14:textId="77777777" w:rsidR="006D1D7A" w:rsidRPr="006D1D7A" w:rsidRDefault="006D1D7A" w:rsidP="006D1D7A">
            <w:pPr>
              <w:jc w:val="center"/>
              <w:rPr>
                <w:rFonts w:cstheme="minorHAnsi"/>
                <w:b/>
                <w:color w:val="FFFFFF" w:themeColor="background1"/>
              </w:rPr>
            </w:pPr>
            <w:r w:rsidRPr="006D1D7A">
              <w:rPr>
                <w:rFonts w:cstheme="minorHAnsi"/>
                <w:b/>
                <w:color w:val="FFFFFF" w:themeColor="background1"/>
              </w:rPr>
              <w:t>11</w:t>
            </w:r>
          </w:p>
        </w:tc>
        <w:tc>
          <w:tcPr>
            <w:tcW w:w="1564" w:type="dxa"/>
            <w:shd w:val="clear" w:color="auto" w:fill="627D77" w:themeFill="background2"/>
          </w:tcPr>
          <w:p w14:paraId="2078A878" w14:textId="77777777" w:rsidR="006D1D7A" w:rsidRPr="006D1D7A" w:rsidRDefault="006D1D7A" w:rsidP="006D1D7A">
            <w:pPr>
              <w:jc w:val="center"/>
              <w:rPr>
                <w:rFonts w:cstheme="minorHAnsi"/>
                <w:b/>
                <w:color w:val="FFFFFF" w:themeColor="background1"/>
              </w:rPr>
            </w:pPr>
            <w:r w:rsidRPr="006D1D7A">
              <w:rPr>
                <w:rFonts w:cstheme="minorHAnsi"/>
                <w:b/>
                <w:color w:val="FFFFFF" w:themeColor="background1"/>
              </w:rPr>
              <w:t>27</w:t>
            </w:r>
          </w:p>
        </w:tc>
      </w:tr>
    </w:tbl>
    <w:p w14:paraId="6EEFF3D4" w14:textId="691138DD" w:rsidR="006D1D7A" w:rsidRDefault="006D1D7A" w:rsidP="006D1D7A">
      <w:pPr>
        <w:spacing w:after="0" w:line="240" w:lineRule="auto"/>
      </w:pPr>
    </w:p>
    <w:p w14:paraId="4EA11849" w14:textId="7586B1DC" w:rsidR="00206732" w:rsidRPr="00206732" w:rsidRDefault="00206732" w:rsidP="00206732">
      <w:pPr>
        <w:spacing w:after="0" w:line="240" w:lineRule="auto"/>
        <w:jc w:val="center"/>
        <w:rPr>
          <w:b/>
          <w:bCs/>
        </w:rPr>
      </w:pPr>
      <w:r>
        <w:rPr>
          <w:b/>
          <w:bCs/>
        </w:rPr>
        <w:t xml:space="preserve">Figure 2. Discharge </w:t>
      </w:r>
      <w:r w:rsidR="00300C67">
        <w:rPr>
          <w:b/>
          <w:bCs/>
        </w:rPr>
        <w:t>Type by 6-Month GPRA Completion</w:t>
      </w:r>
    </w:p>
    <w:p w14:paraId="6AEBFAC6" w14:textId="63C4D331" w:rsidR="00206732" w:rsidRDefault="0066389D" w:rsidP="002966D1">
      <w:pPr>
        <w:spacing w:after="0" w:line="240" w:lineRule="auto"/>
        <w:jc w:val="center"/>
      </w:pPr>
      <w:r>
        <w:rPr>
          <w:noProof/>
        </w:rPr>
        <w:lastRenderedPageBreak/>
        <w:drawing>
          <wp:inline distT="0" distB="0" distL="0" distR="0" wp14:anchorId="78B7BE46" wp14:editId="0A973AB5">
            <wp:extent cx="5462282" cy="2483338"/>
            <wp:effectExtent l="0" t="0" r="508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77249" cy="2490142"/>
                    </a:xfrm>
                    <a:prstGeom prst="rect">
                      <a:avLst/>
                    </a:prstGeom>
                    <a:noFill/>
                  </pic:spPr>
                </pic:pic>
              </a:graphicData>
            </a:graphic>
          </wp:inline>
        </w:drawing>
      </w:r>
    </w:p>
    <w:p w14:paraId="39FE7E0B" w14:textId="77777777" w:rsidR="00ED1051" w:rsidRDefault="00ED1051" w:rsidP="00611274">
      <w:pPr>
        <w:spacing w:after="0" w:line="240" w:lineRule="auto"/>
        <w:rPr>
          <w:b/>
          <w:bCs/>
          <w:i/>
          <w:iCs/>
        </w:rPr>
      </w:pPr>
    </w:p>
    <w:p w14:paraId="4AC0F388" w14:textId="24E68163" w:rsidR="00611274" w:rsidRDefault="00B1257B" w:rsidP="00611274">
      <w:pPr>
        <w:spacing w:after="0" w:line="240" w:lineRule="auto"/>
      </w:pPr>
      <w:r w:rsidRPr="00B1257B">
        <w:rPr>
          <w:b/>
          <w:bCs/>
          <w:i/>
          <w:iCs/>
        </w:rPr>
        <w:t>Discharge GPRAs.</w:t>
      </w:r>
      <w:r>
        <w:t xml:space="preserve"> </w:t>
      </w:r>
      <w:r w:rsidR="004C01C1">
        <w:t xml:space="preserve">Between October 1, 2020 through September 30, 2021, a total of 25 contact attempts were made to complete discharge GPRAs with 37 unique clients eligible to complete a discharge GPRA.  Of these 37 clients, 8 completed a discharge GPRA (22%).  See Table </w:t>
      </w:r>
      <w:r w:rsidR="006D1D7A">
        <w:t>6</w:t>
      </w:r>
      <w:r w:rsidR="00F3287D">
        <w:t xml:space="preserve"> below for a breakdown of discharge types for clients who discharged during this time.</w:t>
      </w:r>
    </w:p>
    <w:p w14:paraId="0882490B" w14:textId="1743BB3C" w:rsidR="00F3287D" w:rsidRDefault="00F3287D" w:rsidP="00611274">
      <w:pPr>
        <w:spacing w:after="0" w:line="240" w:lineRule="auto"/>
      </w:pPr>
    </w:p>
    <w:p w14:paraId="659D9339" w14:textId="5776FCF2" w:rsidR="00F10F4D" w:rsidRPr="006D1D7A" w:rsidRDefault="00F10F4D" w:rsidP="00F10F4D">
      <w:pPr>
        <w:spacing w:after="0" w:line="240" w:lineRule="auto"/>
        <w:jc w:val="center"/>
        <w:rPr>
          <w:b/>
          <w:bCs/>
        </w:rPr>
      </w:pPr>
      <w:r>
        <w:rPr>
          <w:b/>
          <w:bCs/>
        </w:rPr>
        <w:t>Table 6. Discharge Status for Clients Eligible for Discharge GPRA</w:t>
      </w:r>
    </w:p>
    <w:tbl>
      <w:tblPr>
        <w:tblStyle w:val="TableGrid"/>
        <w:tblW w:w="0" w:type="auto"/>
        <w:jc w:val="center"/>
        <w:tblLook w:val="04A0" w:firstRow="1" w:lastRow="0" w:firstColumn="1" w:lastColumn="0" w:noHBand="0" w:noVBand="1"/>
      </w:tblPr>
      <w:tblGrid>
        <w:gridCol w:w="2986"/>
        <w:gridCol w:w="1564"/>
        <w:gridCol w:w="1564"/>
        <w:gridCol w:w="1564"/>
      </w:tblGrid>
      <w:tr w:rsidR="00F10F4D" w:rsidRPr="001159DF" w14:paraId="7A84DDD1" w14:textId="77777777" w:rsidTr="00ED1051">
        <w:trPr>
          <w:trHeight w:val="252"/>
          <w:jc w:val="center"/>
        </w:trPr>
        <w:tc>
          <w:tcPr>
            <w:tcW w:w="2986" w:type="dxa"/>
            <w:vMerge w:val="restart"/>
            <w:shd w:val="clear" w:color="auto" w:fill="627D77" w:themeFill="background2"/>
            <w:vAlign w:val="bottom"/>
          </w:tcPr>
          <w:p w14:paraId="6925DA9B" w14:textId="77777777" w:rsidR="00F10F4D" w:rsidRPr="006D1D7A" w:rsidRDefault="00F10F4D" w:rsidP="00021EC8">
            <w:pPr>
              <w:jc w:val="center"/>
              <w:rPr>
                <w:rFonts w:cstheme="minorHAnsi"/>
                <w:b/>
                <w:color w:val="FFFFFF" w:themeColor="background1"/>
              </w:rPr>
            </w:pPr>
            <w:r w:rsidRPr="006D1D7A">
              <w:rPr>
                <w:rFonts w:cstheme="minorHAnsi"/>
                <w:b/>
                <w:color w:val="FFFFFF" w:themeColor="background1"/>
              </w:rPr>
              <w:t>Discharge Type</w:t>
            </w:r>
          </w:p>
        </w:tc>
        <w:tc>
          <w:tcPr>
            <w:tcW w:w="4692" w:type="dxa"/>
            <w:gridSpan w:val="3"/>
            <w:shd w:val="clear" w:color="auto" w:fill="627D77" w:themeFill="background2"/>
          </w:tcPr>
          <w:p w14:paraId="6C405189" w14:textId="77777777" w:rsidR="00F10F4D" w:rsidRPr="006D1D7A" w:rsidRDefault="00F10F4D" w:rsidP="00021EC8">
            <w:pPr>
              <w:jc w:val="center"/>
              <w:rPr>
                <w:rFonts w:cstheme="minorHAnsi"/>
                <w:b/>
                <w:color w:val="FFFFFF" w:themeColor="background1"/>
              </w:rPr>
            </w:pPr>
            <w:r w:rsidRPr="006D1D7A">
              <w:rPr>
                <w:rFonts w:cstheme="minorHAnsi"/>
                <w:b/>
                <w:color w:val="FFFFFF" w:themeColor="background1"/>
              </w:rPr>
              <w:t>Number of Clients</w:t>
            </w:r>
          </w:p>
        </w:tc>
      </w:tr>
      <w:tr w:rsidR="00F10F4D" w:rsidRPr="001159DF" w14:paraId="24FEA77F" w14:textId="77777777" w:rsidTr="00ED1051">
        <w:trPr>
          <w:trHeight w:val="526"/>
          <w:jc w:val="center"/>
        </w:trPr>
        <w:tc>
          <w:tcPr>
            <w:tcW w:w="2986" w:type="dxa"/>
            <w:vMerge/>
            <w:shd w:val="clear" w:color="auto" w:fill="627D77" w:themeFill="background2"/>
            <w:vAlign w:val="center"/>
          </w:tcPr>
          <w:p w14:paraId="563E8E3D" w14:textId="77777777" w:rsidR="00F10F4D" w:rsidRPr="006D1D7A" w:rsidRDefault="00F10F4D" w:rsidP="00021EC8">
            <w:pPr>
              <w:jc w:val="center"/>
              <w:rPr>
                <w:rFonts w:cstheme="minorHAnsi"/>
                <w:b/>
                <w:color w:val="FFFFFF" w:themeColor="background1"/>
              </w:rPr>
            </w:pPr>
          </w:p>
        </w:tc>
        <w:tc>
          <w:tcPr>
            <w:tcW w:w="1564" w:type="dxa"/>
            <w:shd w:val="clear" w:color="auto" w:fill="627D77" w:themeFill="background2"/>
            <w:vAlign w:val="bottom"/>
          </w:tcPr>
          <w:p w14:paraId="38E3A8FB" w14:textId="77777777" w:rsidR="00F10F4D" w:rsidRPr="006D1D7A" w:rsidRDefault="00F10F4D" w:rsidP="00021EC8">
            <w:pPr>
              <w:jc w:val="center"/>
              <w:rPr>
                <w:rFonts w:cstheme="minorHAnsi"/>
                <w:b/>
                <w:color w:val="FFFFFF" w:themeColor="background1"/>
              </w:rPr>
            </w:pPr>
            <w:r w:rsidRPr="006D1D7A">
              <w:rPr>
                <w:rFonts w:cstheme="minorHAnsi"/>
                <w:b/>
                <w:color w:val="FFFFFF" w:themeColor="background1"/>
              </w:rPr>
              <w:t>Total Eligible</w:t>
            </w:r>
          </w:p>
          <w:p w14:paraId="10D67177" w14:textId="538F07B9" w:rsidR="00F10F4D" w:rsidRPr="006D1D7A" w:rsidRDefault="00F10F4D" w:rsidP="00021EC8">
            <w:pPr>
              <w:jc w:val="center"/>
              <w:rPr>
                <w:rFonts w:cstheme="minorHAnsi"/>
                <w:b/>
                <w:color w:val="FFFFFF" w:themeColor="background1"/>
              </w:rPr>
            </w:pPr>
            <w:r w:rsidRPr="006D1D7A">
              <w:rPr>
                <w:rFonts w:cstheme="minorHAnsi"/>
                <w:b/>
                <w:color w:val="FFFFFF" w:themeColor="background1"/>
              </w:rPr>
              <w:t>(</w:t>
            </w:r>
            <w:r w:rsidRPr="006D1D7A">
              <w:rPr>
                <w:rFonts w:cstheme="minorHAnsi"/>
                <w:b/>
                <w:i/>
                <w:color w:val="FFFFFF" w:themeColor="background1"/>
              </w:rPr>
              <w:t>n</w:t>
            </w:r>
            <w:r w:rsidRPr="006D1D7A">
              <w:rPr>
                <w:rFonts w:cstheme="minorHAnsi"/>
                <w:b/>
                <w:color w:val="FFFFFF" w:themeColor="background1"/>
              </w:rPr>
              <w:t xml:space="preserve"> = </w:t>
            </w:r>
            <w:r>
              <w:rPr>
                <w:rFonts w:cstheme="minorHAnsi"/>
                <w:b/>
                <w:color w:val="FFFFFF" w:themeColor="background1"/>
              </w:rPr>
              <w:t>37</w:t>
            </w:r>
            <w:r w:rsidRPr="006D1D7A">
              <w:rPr>
                <w:rFonts w:cstheme="minorHAnsi"/>
                <w:b/>
                <w:color w:val="FFFFFF" w:themeColor="background1"/>
              </w:rPr>
              <w:t>)</w:t>
            </w:r>
          </w:p>
        </w:tc>
        <w:tc>
          <w:tcPr>
            <w:tcW w:w="1564" w:type="dxa"/>
            <w:shd w:val="clear" w:color="auto" w:fill="627D77" w:themeFill="background2"/>
            <w:vAlign w:val="bottom"/>
          </w:tcPr>
          <w:p w14:paraId="0DCB9243" w14:textId="77777777" w:rsidR="00F10F4D" w:rsidRPr="006D1D7A" w:rsidRDefault="00F10F4D" w:rsidP="00021EC8">
            <w:pPr>
              <w:jc w:val="center"/>
              <w:rPr>
                <w:rFonts w:cstheme="minorHAnsi"/>
                <w:b/>
                <w:color w:val="FFFFFF" w:themeColor="background1"/>
              </w:rPr>
            </w:pPr>
            <w:r w:rsidRPr="006D1D7A">
              <w:rPr>
                <w:rFonts w:cstheme="minorHAnsi"/>
                <w:b/>
                <w:color w:val="FFFFFF" w:themeColor="background1"/>
              </w:rPr>
              <w:t>Complete</w:t>
            </w:r>
          </w:p>
          <w:p w14:paraId="55B6D860" w14:textId="6E515EC8" w:rsidR="00F10F4D" w:rsidRPr="006D1D7A" w:rsidRDefault="00F10F4D" w:rsidP="00021EC8">
            <w:pPr>
              <w:jc w:val="center"/>
              <w:rPr>
                <w:rFonts w:cstheme="minorHAnsi"/>
                <w:b/>
                <w:color w:val="FFFFFF" w:themeColor="background1"/>
              </w:rPr>
            </w:pPr>
            <w:r w:rsidRPr="006D1D7A">
              <w:rPr>
                <w:rFonts w:cstheme="minorHAnsi"/>
                <w:b/>
                <w:color w:val="FFFFFF" w:themeColor="background1"/>
              </w:rPr>
              <w:t>(</w:t>
            </w:r>
            <w:r w:rsidRPr="006D1D7A">
              <w:rPr>
                <w:rFonts w:cstheme="minorHAnsi"/>
                <w:b/>
                <w:i/>
                <w:color w:val="FFFFFF" w:themeColor="background1"/>
              </w:rPr>
              <w:t>n</w:t>
            </w:r>
            <w:r w:rsidRPr="006D1D7A">
              <w:rPr>
                <w:rFonts w:cstheme="minorHAnsi"/>
                <w:b/>
                <w:color w:val="FFFFFF" w:themeColor="background1"/>
              </w:rPr>
              <w:t xml:space="preserve"> = </w:t>
            </w:r>
            <w:r>
              <w:rPr>
                <w:rFonts w:cstheme="minorHAnsi"/>
                <w:b/>
                <w:color w:val="FFFFFF" w:themeColor="background1"/>
              </w:rPr>
              <w:t>8</w:t>
            </w:r>
            <w:r w:rsidRPr="006D1D7A">
              <w:rPr>
                <w:rFonts w:cstheme="minorHAnsi"/>
                <w:b/>
                <w:color w:val="FFFFFF" w:themeColor="background1"/>
              </w:rPr>
              <w:t>)</w:t>
            </w:r>
          </w:p>
        </w:tc>
        <w:tc>
          <w:tcPr>
            <w:tcW w:w="1564" w:type="dxa"/>
            <w:shd w:val="clear" w:color="auto" w:fill="627D77" w:themeFill="background2"/>
            <w:vAlign w:val="bottom"/>
          </w:tcPr>
          <w:p w14:paraId="6297B204" w14:textId="77777777" w:rsidR="00F10F4D" w:rsidRPr="006D1D7A" w:rsidRDefault="00F10F4D" w:rsidP="00021EC8">
            <w:pPr>
              <w:jc w:val="center"/>
              <w:rPr>
                <w:rFonts w:cstheme="minorHAnsi"/>
                <w:b/>
                <w:color w:val="FFFFFF" w:themeColor="background1"/>
              </w:rPr>
            </w:pPr>
            <w:r w:rsidRPr="006D1D7A">
              <w:rPr>
                <w:rFonts w:cstheme="minorHAnsi"/>
                <w:b/>
                <w:color w:val="FFFFFF" w:themeColor="background1"/>
              </w:rPr>
              <w:t>Not Complete</w:t>
            </w:r>
          </w:p>
          <w:p w14:paraId="709526CE" w14:textId="42A0D4A3" w:rsidR="00F10F4D" w:rsidRPr="006D1D7A" w:rsidRDefault="00F10F4D" w:rsidP="00021EC8">
            <w:pPr>
              <w:jc w:val="center"/>
              <w:rPr>
                <w:rFonts w:cstheme="minorHAnsi"/>
                <w:b/>
                <w:color w:val="FFFFFF" w:themeColor="background1"/>
              </w:rPr>
            </w:pPr>
            <w:r w:rsidRPr="006D1D7A">
              <w:rPr>
                <w:rFonts w:cstheme="minorHAnsi"/>
                <w:b/>
                <w:color w:val="FFFFFF" w:themeColor="background1"/>
              </w:rPr>
              <w:t>(</w:t>
            </w:r>
            <w:r w:rsidRPr="006D1D7A">
              <w:rPr>
                <w:rFonts w:cstheme="minorHAnsi"/>
                <w:b/>
                <w:i/>
                <w:color w:val="FFFFFF" w:themeColor="background1"/>
              </w:rPr>
              <w:t>n</w:t>
            </w:r>
            <w:r w:rsidRPr="006D1D7A">
              <w:rPr>
                <w:rFonts w:cstheme="minorHAnsi"/>
                <w:b/>
                <w:color w:val="FFFFFF" w:themeColor="background1"/>
              </w:rPr>
              <w:t xml:space="preserve"> = </w:t>
            </w:r>
            <w:r>
              <w:rPr>
                <w:rFonts w:cstheme="minorHAnsi"/>
                <w:b/>
                <w:color w:val="FFFFFF" w:themeColor="background1"/>
              </w:rPr>
              <w:t>29</w:t>
            </w:r>
            <w:r w:rsidRPr="006D1D7A">
              <w:rPr>
                <w:rFonts w:cstheme="minorHAnsi"/>
                <w:b/>
                <w:color w:val="FFFFFF" w:themeColor="background1"/>
              </w:rPr>
              <w:t>)</w:t>
            </w:r>
          </w:p>
        </w:tc>
      </w:tr>
      <w:tr w:rsidR="00F10F4D" w:rsidRPr="001159DF" w14:paraId="6412FF8E" w14:textId="77777777" w:rsidTr="00ED1051">
        <w:trPr>
          <w:trHeight w:val="252"/>
          <w:jc w:val="center"/>
        </w:trPr>
        <w:tc>
          <w:tcPr>
            <w:tcW w:w="2986" w:type="dxa"/>
          </w:tcPr>
          <w:p w14:paraId="586C73F3" w14:textId="77777777" w:rsidR="00F10F4D" w:rsidRPr="001159DF" w:rsidRDefault="00F10F4D" w:rsidP="00021EC8">
            <w:pPr>
              <w:rPr>
                <w:rFonts w:cstheme="minorHAnsi"/>
              </w:rPr>
            </w:pPr>
            <w:r w:rsidRPr="001159DF">
              <w:rPr>
                <w:rFonts w:cstheme="minorHAnsi"/>
              </w:rPr>
              <w:t>Against Facility Advice</w:t>
            </w:r>
          </w:p>
        </w:tc>
        <w:tc>
          <w:tcPr>
            <w:tcW w:w="1564" w:type="dxa"/>
          </w:tcPr>
          <w:p w14:paraId="53A90FB0" w14:textId="65A3C82B" w:rsidR="00F10F4D" w:rsidRPr="001159DF" w:rsidRDefault="00F10F4D" w:rsidP="00021EC8">
            <w:pPr>
              <w:jc w:val="center"/>
              <w:rPr>
                <w:rFonts w:cstheme="minorHAnsi"/>
              </w:rPr>
            </w:pPr>
            <w:r>
              <w:rPr>
                <w:rFonts w:cstheme="minorHAnsi"/>
              </w:rPr>
              <w:t>13</w:t>
            </w:r>
          </w:p>
        </w:tc>
        <w:tc>
          <w:tcPr>
            <w:tcW w:w="1564" w:type="dxa"/>
          </w:tcPr>
          <w:p w14:paraId="17CBA7AF" w14:textId="3F5E8D16" w:rsidR="00F10F4D" w:rsidRPr="001159DF" w:rsidRDefault="00F10F4D" w:rsidP="00021EC8">
            <w:pPr>
              <w:jc w:val="center"/>
              <w:rPr>
                <w:rFonts w:cstheme="minorHAnsi"/>
              </w:rPr>
            </w:pPr>
            <w:r>
              <w:rPr>
                <w:rFonts w:cstheme="minorHAnsi"/>
              </w:rPr>
              <w:t>0</w:t>
            </w:r>
          </w:p>
        </w:tc>
        <w:tc>
          <w:tcPr>
            <w:tcW w:w="1564" w:type="dxa"/>
          </w:tcPr>
          <w:p w14:paraId="7AECA8C1" w14:textId="1163383E" w:rsidR="00F10F4D" w:rsidRPr="001159DF" w:rsidRDefault="00F10F4D" w:rsidP="00021EC8">
            <w:pPr>
              <w:jc w:val="center"/>
              <w:rPr>
                <w:rFonts w:cstheme="minorHAnsi"/>
              </w:rPr>
            </w:pPr>
            <w:r>
              <w:rPr>
                <w:rFonts w:cstheme="minorHAnsi"/>
              </w:rPr>
              <w:t>13</w:t>
            </w:r>
          </w:p>
        </w:tc>
      </w:tr>
      <w:tr w:rsidR="00F10F4D" w:rsidRPr="001159DF" w14:paraId="00EDAB55" w14:textId="77777777" w:rsidTr="00ED1051">
        <w:trPr>
          <w:trHeight w:val="252"/>
          <w:jc w:val="center"/>
        </w:trPr>
        <w:tc>
          <w:tcPr>
            <w:tcW w:w="2986" w:type="dxa"/>
          </w:tcPr>
          <w:p w14:paraId="47E2C5C6" w14:textId="77777777" w:rsidR="00F10F4D" w:rsidRPr="001159DF" w:rsidRDefault="00F10F4D" w:rsidP="00021EC8">
            <w:pPr>
              <w:rPr>
                <w:rFonts w:cstheme="minorHAnsi"/>
              </w:rPr>
            </w:pPr>
            <w:r w:rsidRPr="001159DF">
              <w:rPr>
                <w:rFonts w:cstheme="minorHAnsi"/>
              </w:rPr>
              <w:t>Administrative Discharge</w:t>
            </w:r>
          </w:p>
        </w:tc>
        <w:tc>
          <w:tcPr>
            <w:tcW w:w="1564" w:type="dxa"/>
          </w:tcPr>
          <w:p w14:paraId="61CA18F1" w14:textId="57431088" w:rsidR="00F10F4D" w:rsidRPr="001159DF" w:rsidRDefault="00F10F4D" w:rsidP="00021EC8">
            <w:pPr>
              <w:jc w:val="center"/>
              <w:rPr>
                <w:rFonts w:cstheme="minorHAnsi"/>
              </w:rPr>
            </w:pPr>
            <w:r>
              <w:rPr>
                <w:rFonts w:cstheme="minorHAnsi"/>
              </w:rPr>
              <w:t>9</w:t>
            </w:r>
          </w:p>
        </w:tc>
        <w:tc>
          <w:tcPr>
            <w:tcW w:w="1564" w:type="dxa"/>
          </w:tcPr>
          <w:p w14:paraId="212BB17D" w14:textId="5099B041" w:rsidR="00F10F4D" w:rsidRPr="001159DF" w:rsidRDefault="00F10F4D" w:rsidP="00021EC8">
            <w:pPr>
              <w:jc w:val="center"/>
              <w:rPr>
                <w:rFonts w:cstheme="minorHAnsi"/>
              </w:rPr>
            </w:pPr>
            <w:r>
              <w:rPr>
                <w:rFonts w:cstheme="minorHAnsi"/>
              </w:rPr>
              <w:t>1</w:t>
            </w:r>
          </w:p>
        </w:tc>
        <w:tc>
          <w:tcPr>
            <w:tcW w:w="1564" w:type="dxa"/>
          </w:tcPr>
          <w:p w14:paraId="2444DD61" w14:textId="20587073" w:rsidR="00F10F4D" w:rsidRPr="001159DF" w:rsidRDefault="00F10F4D" w:rsidP="00021EC8">
            <w:pPr>
              <w:jc w:val="center"/>
              <w:rPr>
                <w:rFonts w:cstheme="minorHAnsi"/>
              </w:rPr>
            </w:pPr>
            <w:r>
              <w:rPr>
                <w:rFonts w:cstheme="minorHAnsi"/>
              </w:rPr>
              <w:t>8</w:t>
            </w:r>
          </w:p>
        </w:tc>
      </w:tr>
      <w:tr w:rsidR="00F10F4D" w:rsidRPr="001159DF" w14:paraId="6171AB3A" w14:textId="77777777" w:rsidTr="00ED1051">
        <w:trPr>
          <w:trHeight w:val="252"/>
          <w:jc w:val="center"/>
        </w:trPr>
        <w:tc>
          <w:tcPr>
            <w:tcW w:w="2986" w:type="dxa"/>
          </w:tcPr>
          <w:p w14:paraId="38D28E3B" w14:textId="77777777" w:rsidR="00F10F4D" w:rsidRPr="001159DF" w:rsidRDefault="00F10F4D" w:rsidP="00021EC8">
            <w:pPr>
              <w:rPr>
                <w:rFonts w:cstheme="minorHAnsi"/>
              </w:rPr>
            </w:pPr>
            <w:r w:rsidRPr="001159DF">
              <w:rPr>
                <w:rFonts w:cstheme="minorHAnsi"/>
              </w:rPr>
              <w:t>Completed Treatment</w:t>
            </w:r>
          </w:p>
        </w:tc>
        <w:tc>
          <w:tcPr>
            <w:tcW w:w="1564" w:type="dxa"/>
          </w:tcPr>
          <w:p w14:paraId="00A749AD" w14:textId="5CE65019" w:rsidR="00F10F4D" w:rsidRDefault="00F10F4D" w:rsidP="00021EC8">
            <w:pPr>
              <w:jc w:val="center"/>
              <w:rPr>
                <w:rFonts w:cstheme="minorHAnsi"/>
              </w:rPr>
            </w:pPr>
            <w:r>
              <w:rPr>
                <w:rFonts w:cstheme="minorHAnsi"/>
              </w:rPr>
              <w:t>11</w:t>
            </w:r>
          </w:p>
        </w:tc>
        <w:tc>
          <w:tcPr>
            <w:tcW w:w="1564" w:type="dxa"/>
          </w:tcPr>
          <w:p w14:paraId="2CC2216E" w14:textId="301F647B" w:rsidR="00F10F4D" w:rsidRDefault="00F10F4D" w:rsidP="00021EC8">
            <w:pPr>
              <w:jc w:val="center"/>
              <w:rPr>
                <w:rFonts w:cstheme="minorHAnsi"/>
              </w:rPr>
            </w:pPr>
            <w:r>
              <w:rPr>
                <w:rFonts w:cstheme="minorHAnsi"/>
              </w:rPr>
              <w:t>6</w:t>
            </w:r>
          </w:p>
        </w:tc>
        <w:tc>
          <w:tcPr>
            <w:tcW w:w="1564" w:type="dxa"/>
          </w:tcPr>
          <w:p w14:paraId="2E89398D" w14:textId="29576CFF" w:rsidR="00F10F4D" w:rsidRDefault="00F10F4D" w:rsidP="00021EC8">
            <w:pPr>
              <w:jc w:val="center"/>
              <w:rPr>
                <w:rFonts w:cstheme="minorHAnsi"/>
              </w:rPr>
            </w:pPr>
            <w:r>
              <w:rPr>
                <w:rFonts w:cstheme="minorHAnsi"/>
              </w:rPr>
              <w:t>5</w:t>
            </w:r>
          </w:p>
        </w:tc>
      </w:tr>
      <w:tr w:rsidR="00F10F4D" w:rsidRPr="001159DF" w14:paraId="4C5DB040" w14:textId="77777777" w:rsidTr="00ED1051">
        <w:trPr>
          <w:trHeight w:val="252"/>
          <w:jc w:val="center"/>
        </w:trPr>
        <w:tc>
          <w:tcPr>
            <w:tcW w:w="2986" w:type="dxa"/>
          </w:tcPr>
          <w:p w14:paraId="60C2BFD3" w14:textId="77777777" w:rsidR="00F10F4D" w:rsidRPr="001159DF" w:rsidRDefault="00F10F4D" w:rsidP="00021EC8">
            <w:pPr>
              <w:rPr>
                <w:rFonts w:cstheme="minorHAnsi"/>
              </w:rPr>
            </w:pPr>
            <w:r w:rsidRPr="001159DF">
              <w:rPr>
                <w:rFonts w:cstheme="minorHAnsi"/>
              </w:rPr>
              <w:t>Transfer</w:t>
            </w:r>
          </w:p>
        </w:tc>
        <w:tc>
          <w:tcPr>
            <w:tcW w:w="1564" w:type="dxa"/>
          </w:tcPr>
          <w:p w14:paraId="2A45EB74" w14:textId="0A9BBB95" w:rsidR="00F10F4D" w:rsidRDefault="00F10F4D" w:rsidP="00021EC8">
            <w:pPr>
              <w:jc w:val="center"/>
              <w:rPr>
                <w:rFonts w:cstheme="minorHAnsi"/>
              </w:rPr>
            </w:pPr>
            <w:r>
              <w:rPr>
                <w:rFonts w:cstheme="minorHAnsi"/>
              </w:rPr>
              <w:t>4</w:t>
            </w:r>
          </w:p>
        </w:tc>
        <w:tc>
          <w:tcPr>
            <w:tcW w:w="1564" w:type="dxa"/>
          </w:tcPr>
          <w:p w14:paraId="576686E6" w14:textId="330B9DB5" w:rsidR="00F10F4D" w:rsidRDefault="00F10F4D" w:rsidP="00021EC8">
            <w:pPr>
              <w:jc w:val="center"/>
              <w:rPr>
                <w:rFonts w:cstheme="minorHAnsi"/>
              </w:rPr>
            </w:pPr>
            <w:r>
              <w:rPr>
                <w:rFonts w:cstheme="minorHAnsi"/>
              </w:rPr>
              <w:t>1</w:t>
            </w:r>
          </w:p>
        </w:tc>
        <w:tc>
          <w:tcPr>
            <w:tcW w:w="1564" w:type="dxa"/>
          </w:tcPr>
          <w:p w14:paraId="13520385" w14:textId="19FD2A9C" w:rsidR="00F10F4D" w:rsidRDefault="00F10F4D" w:rsidP="00021EC8">
            <w:pPr>
              <w:jc w:val="center"/>
              <w:rPr>
                <w:rFonts w:cstheme="minorHAnsi"/>
              </w:rPr>
            </w:pPr>
            <w:r>
              <w:rPr>
                <w:rFonts w:cstheme="minorHAnsi"/>
              </w:rPr>
              <w:t>3</w:t>
            </w:r>
          </w:p>
        </w:tc>
      </w:tr>
      <w:tr w:rsidR="00F10F4D" w:rsidRPr="001159DF" w14:paraId="4B45519B" w14:textId="77777777" w:rsidTr="00ED1051">
        <w:trPr>
          <w:trHeight w:val="252"/>
          <w:jc w:val="center"/>
        </w:trPr>
        <w:tc>
          <w:tcPr>
            <w:tcW w:w="2986" w:type="dxa"/>
            <w:shd w:val="clear" w:color="auto" w:fill="627D77" w:themeFill="background2"/>
          </w:tcPr>
          <w:p w14:paraId="413F6429" w14:textId="77777777" w:rsidR="00F10F4D" w:rsidRPr="006D1D7A" w:rsidRDefault="00F10F4D" w:rsidP="00021EC8">
            <w:pPr>
              <w:jc w:val="center"/>
              <w:rPr>
                <w:rFonts w:cstheme="minorHAnsi"/>
                <w:b/>
                <w:color w:val="FFFFFF" w:themeColor="background1"/>
              </w:rPr>
            </w:pPr>
            <w:r w:rsidRPr="006D1D7A">
              <w:rPr>
                <w:rFonts w:cstheme="minorHAnsi"/>
                <w:b/>
                <w:color w:val="FFFFFF" w:themeColor="background1"/>
              </w:rPr>
              <w:t>Total</w:t>
            </w:r>
          </w:p>
        </w:tc>
        <w:tc>
          <w:tcPr>
            <w:tcW w:w="1564" w:type="dxa"/>
            <w:shd w:val="clear" w:color="auto" w:fill="627D77" w:themeFill="background2"/>
          </w:tcPr>
          <w:p w14:paraId="37F25BBA" w14:textId="3808341B" w:rsidR="00F10F4D" w:rsidRPr="006D1D7A" w:rsidRDefault="00F10F4D" w:rsidP="00021EC8">
            <w:pPr>
              <w:jc w:val="center"/>
              <w:rPr>
                <w:rFonts w:cstheme="minorHAnsi"/>
                <w:b/>
                <w:color w:val="FFFFFF" w:themeColor="background1"/>
              </w:rPr>
            </w:pPr>
            <w:r>
              <w:rPr>
                <w:rFonts w:cstheme="minorHAnsi"/>
                <w:b/>
                <w:color w:val="FFFFFF" w:themeColor="background1"/>
              </w:rPr>
              <w:t>37</w:t>
            </w:r>
          </w:p>
        </w:tc>
        <w:tc>
          <w:tcPr>
            <w:tcW w:w="1564" w:type="dxa"/>
            <w:shd w:val="clear" w:color="auto" w:fill="627D77" w:themeFill="background2"/>
          </w:tcPr>
          <w:p w14:paraId="67B5B873" w14:textId="2DC3B99D" w:rsidR="00F10F4D" w:rsidRPr="006D1D7A" w:rsidRDefault="00F10F4D" w:rsidP="00021EC8">
            <w:pPr>
              <w:jc w:val="center"/>
              <w:rPr>
                <w:rFonts w:cstheme="minorHAnsi"/>
                <w:b/>
                <w:color w:val="FFFFFF" w:themeColor="background1"/>
              </w:rPr>
            </w:pPr>
            <w:r>
              <w:rPr>
                <w:rFonts w:cstheme="minorHAnsi"/>
                <w:b/>
                <w:color w:val="FFFFFF" w:themeColor="background1"/>
              </w:rPr>
              <w:t>8</w:t>
            </w:r>
          </w:p>
        </w:tc>
        <w:tc>
          <w:tcPr>
            <w:tcW w:w="1564" w:type="dxa"/>
            <w:shd w:val="clear" w:color="auto" w:fill="627D77" w:themeFill="background2"/>
          </w:tcPr>
          <w:p w14:paraId="4171F15D" w14:textId="526AE99B" w:rsidR="00F10F4D" w:rsidRPr="006D1D7A" w:rsidRDefault="00F10F4D" w:rsidP="00021EC8">
            <w:pPr>
              <w:jc w:val="center"/>
              <w:rPr>
                <w:rFonts w:cstheme="minorHAnsi"/>
                <w:b/>
                <w:color w:val="FFFFFF" w:themeColor="background1"/>
              </w:rPr>
            </w:pPr>
            <w:r>
              <w:rPr>
                <w:rFonts w:cstheme="minorHAnsi"/>
                <w:b/>
                <w:color w:val="FFFFFF" w:themeColor="background1"/>
              </w:rPr>
              <w:t>29</w:t>
            </w:r>
          </w:p>
        </w:tc>
      </w:tr>
    </w:tbl>
    <w:p w14:paraId="1C72AED0" w14:textId="77777777" w:rsidR="00F10F4D" w:rsidRDefault="00F10F4D" w:rsidP="00611274">
      <w:pPr>
        <w:spacing w:after="0" w:line="240" w:lineRule="auto"/>
      </w:pPr>
    </w:p>
    <w:p w14:paraId="1BB22324" w14:textId="319458AC" w:rsidR="00F3287D" w:rsidRDefault="00F3287D" w:rsidP="00611274">
      <w:pPr>
        <w:spacing w:after="0" w:line="240" w:lineRule="auto"/>
      </w:pPr>
      <w:r>
        <w:t xml:space="preserve">See Table </w:t>
      </w:r>
      <w:r w:rsidR="006D1D7A">
        <w:t>7</w:t>
      </w:r>
      <w:r>
        <w:t xml:space="preserve"> below for the number of contact attempts and methods used in total and per group.</w:t>
      </w:r>
    </w:p>
    <w:p w14:paraId="18322098" w14:textId="0938E9DD" w:rsidR="00F3287D" w:rsidRDefault="00F3287D" w:rsidP="00611274">
      <w:pPr>
        <w:spacing w:after="0" w:line="240" w:lineRule="auto"/>
      </w:pPr>
    </w:p>
    <w:p w14:paraId="677085F8" w14:textId="4B197EF1" w:rsidR="00F3287D" w:rsidRDefault="00F3287D" w:rsidP="00F3287D">
      <w:pPr>
        <w:spacing w:after="0" w:line="240" w:lineRule="auto"/>
        <w:jc w:val="center"/>
        <w:rPr>
          <w:b/>
          <w:bCs/>
        </w:rPr>
      </w:pPr>
      <w:r>
        <w:rPr>
          <w:b/>
          <w:bCs/>
        </w:rPr>
        <w:t xml:space="preserve">Table </w:t>
      </w:r>
      <w:r w:rsidR="006D1D7A">
        <w:rPr>
          <w:b/>
          <w:bCs/>
        </w:rPr>
        <w:t>7</w:t>
      </w:r>
      <w:r>
        <w:rPr>
          <w:b/>
          <w:bCs/>
        </w:rPr>
        <w:t>. Summary of Contact Attempts to Complete Discharge GPRAs</w:t>
      </w:r>
    </w:p>
    <w:tbl>
      <w:tblPr>
        <w:tblStyle w:val="TableGrid"/>
        <w:tblW w:w="0" w:type="auto"/>
        <w:jc w:val="center"/>
        <w:tblLook w:val="04A0" w:firstRow="1" w:lastRow="0" w:firstColumn="1" w:lastColumn="0" w:noHBand="0" w:noVBand="1"/>
      </w:tblPr>
      <w:tblGrid>
        <w:gridCol w:w="2700"/>
        <w:gridCol w:w="1740"/>
        <w:gridCol w:w="1740"/>
        <w:gridCol w:w="1740"/>
      </w:tblGrid>
      <w:tr w:rsidR="00F3287D" w:rsidRPr="001159DF" w14:paraId="05217CE5" w14:textId="77777777" w:rsidTr="00021EC8">
        <w:trPr>
          <w:jc w:val="center"/>
        </w:trPr>
        <w:tc>
          <w:tcPr>
            <w:tcW w:w="2700" w:type="dxa"/>
            <w:vMerge w:val="restart"/>
            <w:shd w:val="clear" w:color="auto" w:fill="627D77" w:themeFill="background2"/>
            <w:vAlign w:val="bottom"/>
          </w:tcPr>
          <w:p w14:paraId="527A70DD" w14:textId="77777777" w:rsidR="00F3287D" w:rsidRPr="004C01C1" w:rsidRDefault="00F3287D" w:rsidP="00021EC8">
            <w:pPr>
              <w:jc w:val="center"/>
              <w:rPr>
                <w:rFonts w:cstheme="minorHAnsi"/>
                <w:b/>
                <w:color w:val="FFFFFF" w:themeColor="background1"/>
              </w:rPr>
            </w:pPr>
            <w:r w:rsidRPr="004C01C1">
              <w:rPr>
                <w:rFonts w:cstheme="minorHAnsi"/>
                <w:b/>
                <w:color w:val="FFFFFF" w:themeColor="background1"/>
              </w:rPr>
              <w:t>Contact Method</w:t>
            </w:r>
          </w:p>
        </w:tc>
        <w:tc>
          <w:tcPr>
            <w:tcW w:w="5220" w:type="dxa"/>
            <w:gridSpan w:val="3"/>
            <w:shd w:val="clear" w:color="auto" w:fill="627D77" w:themeFill="background2"/>
          </w:tcPr>
          <w:p w14:paraId="3E48ACFF" w14:textId="77777777" w:rsidR="00F3287D" w:rsidRPr="004C01C1" w:rsidRDefault="00F3287D" w:rsidP="00021EC8">
            <w:pPr>
              <w:jc w:val="center"/>
              <w:rPr>
                <w:rFonts w:cstheme="minorHAnsi"/>
                <w:b/>
                <w:color w:val="FFFFFF" w:themeColor="background1"/>
              </w:rPr>
            </w:pPr>
            <w:r w:rsidRPr="004C01C1">
              <w:rPr>
                <w:rFonts w:cstheme="minorHAnsi"/>
                <w:b/>
                <w:color w:val="FFFFFF" w:themeColor="background1"/>
              </w:rPr>
              <w:t>Number of Contact Attempts</w:t>
            </w:r>
          </w:p>
        </w:tc>
      </w:tr>
      <w:tr w:rsidR="00F3287D" w:rsidRPr="001159DF" w14:paraId="10009A1D" w14:textId="77777777" w:rsidTr="00021EC8">
        <w:trPr>
          <w:jc w:val="center"/>
        </w:trPr>
        <w:tc>
          <w:tcPr>
            <w:tcW w:w="2700" w:type="dxa"/>
            <w:vMerge/>
            <w:shd w:val="clear" w:color="auto" w:fill="627D77" w:themeFill="background2"/>
            <w:vAlign w:val="center"/>
          </w:tcPr>
          <w:p w14:paraId="70C110E4" w14:textId="77777777" w:rsidR="00F3287D" w:rsidRPr="004C01C1" w:rsidRDefault="00F3287D" w:rsidP="00021EC8">
            <w:pPr>
              <w:jc w:val="center"/>
              <w:rPr>
                <w:rFonts w:cstheme="minorHAnsi"/>
                <w:b/>
                <w:color w:val="FFFFFF" w:themeColor="background1"/>
              </w:rPr>
            </w:pPr>
          </w:p>
        </w:tc>
        <w:tc>
          <w:tcPr>
            <w:tcW w:w="1740" w:type="dxa"/>
            <w:shd w:val="clear" w:color="auto" w:fill="627D77" w:themeFill="background2"/>
            <w:vAlign w:val="bottom"/>
          </w:tcPr>
          <w:p w14:paraId="39B1E168" w14:textId="77777777" w:rsidR="00F3287D" w:rsidRPr="004C01C1" w:rsidRDefault="00F3287D" w:rsidP="00021EC8">
            <w:pPr>
              <w:jc w:val="center"/>
              <w:rPr>
                <w:rFonts w:cstheme="minorHAnsi"/>
                <w:b/>
                <w:color w:val="FFFFFF" w:themeColor="background1"/>
              </w:rPr>
            </w:pPr>
            <w:r w:rsidRPr="004C01C1">
              <w:rPr>
                <w:rFonts w:cstheme="minorHAnsi"/>
                <w:b/>
                <w:color w:val="FFFFFF" w:themeColor="background1"/>
              </w:rPr>
              <w:t>Total Eligible</w:t>
            </w:r>
          </w:p>
          <w:p w14:paraId="78211FE1" w14:textId="35123D5A" w:rsidR="00F3287D" w:rsidRPr="004C01C1" w:rsidRDefault="00F3287D" w:rsidP="00021EC8">
            <w:pPr>
              <w:jc w:val="center"/>
              <w:rPr>
                <w:rFonts w:cstheme="minorHAnsi"/>
                <w:b/>
                <w:color w:val="FFFFFF" w:themeColor="background1"/>
              </w:rPr>
            </w:pPr>
            <w:r w:rsidRPr="004C01C1">
              <w:rPr>
                <w:rFonts w:cstheme="minorHAnsi"/>
                <w:b/>
                <w:color w:val="FFFFFF" w:themeColor="background1"/>
              </w:rPr>
              <w:t>(</w:t>
            </w:r>
            <w:r w:rsidRPr="004C01C1">
              <w:rPr>
                <w:rFonts w:cstheme="minorHAnsi"/>
                <w:b/>
                <w:i/>
                <w:color w:val="FFFFFF" w:themeColor="background1"/>
              </w:rPr>
              <w:t>n</w:t>
            </w:r>
            <w:r w:rsidRPr="004C01C1">
              <w:rPr>
                <w:rFonts w:cstheme="minorHAnsi"/>
                <w:b/>
                <w:color w:val="FFFFFF" w:themeColor="background1"/>
              </w:rPr>
              <w:t xml:space="preserve"> =</w:t>
            </w:r>
            <w:r>
              <w:rPr>
                <w:rFonts w:cstheme="minorHAnsi"/>
                <w:b/>
                <w:color w:val="FFFFFF" w:themeColor="background1"/>
              </w:rPr>
              <w:t xml:space="preserve"> 37</w:t>
            </w:r>
            <w:r w:rsidRPr="004C01C1">
              <w:rPr>
                <w:rFonts w:cstheme="minorHAnsi"/>
                <w:b/>
                <w:color w:val="FFFFFF" w:themeColor="background1"/>
              </w:rPr>
              <w:t>)</w:t>
            </w:r>
          </w:p>
        </w:tc>
        <w:tc>
          <w:tcPr>
            <w:tcW w:w="1740" w:type="dxa"/>
            <w:shd w:val="clear" w:color="auto" w:fill="627D77" w:themeFill="background2"/>
            <w:vAlign w:val="bottom"/>
          </w:tcPr>
          <w:p w14:paraId="29D0F76C" w14:textId="77777777" w:rsidR="00F3287D" w:rsidRPr="004C01C1" w:rsidRDefault="00F3287D" w:rsidP="00021EC8">
            <w:pPr>
              <w:jc w:val="center"/>
              <w:rPr>
                <w:rFonts w:cstheme="minorHAnsi"/>
                <w:b/>
                <w:color w:val="FFFFFF" w:themeColor="background1"/>
              </w:rPr>
            </w:pPr>
            <w:r w:rsidRPr="004C01C1">
              <w:rPr>
                <w:rFonts w:cstheme="minorHAnsi"/>
                <w:b/>
                <w:color w:val="FFFFFF" w:themeColor="background1"/>
              </w:rPr>
              <w:t>Complete</w:t>
            </w:r>
          </w:p>
          <w:p w14:paraId="50B0A74D" w14:textId="061E587D" w:rsidR="00F3287D" w:rsidRPr="004C01C1" w:rsidRDefault="00F3287D" w:rsidP="00021EC8">
            <w:pPr>
              <w:jc w:val="center"/>
              <w:rPr>
                <w:rFonts w:cstheme="minorHAnsi"/>
                <w:b/>
                <w:color w:val="FFFFFF" w:themeColor="background1"/>
              </w:rPr>
            </w:pPr>
            <w:r w:rsidRPr="004C01C1">
              <w:rPr>
                <w:rFonts w:cstheme="minorHAnsi"/>
                <w:b/>
                <w:color w:val="FFFFFF" w:themeColor="background1"/>
              </w:rPr>
              <w:t>(</w:t>
            </w:r>
            <w:r w:rsidRPr="004C01C1">
              <w:rPr>
                <w:rFonts w:cstheme="minorHAnsi"/>
                <w:b/>
                <w:i/>
                <w:color w:val="FFFFFF" w:themeColor="background1"/>
              </w:rPr>
              <w:t>n</w:t>
            </w:r>
            <w:r w:rsidRPr="004C01C1">
              <w:rPr>
                <w:rFonts w:cstheme="minorHAnsi"/>
                <w:b/>
                <w:color w:val="FFFFFF" w:themeColor="background1"/>
              </w:rPr>
              <w:t xml:space="preserve"> = </w:t>
            </w:r>
            <w:r>
              <w:rPr>
                <w:rFonts w:cstheme="minorHAnsi"/>
                <w:b/>
                <w:color w:val="FFFFFF" w:themeColor="background1"/>
              </w:rPr>
              <w:t>8</w:t>
            </w:r>
            <w:r w:rsidRPr="004C01C1">
              <w:rPr>
                <w:rFonts w:cstheme="minorHAnsi"/>
                <w:b/>
                <w:color w:val="FFFFFF" w:themeColor="background1"/>
              </w:rPr>
              <w:t>)</w:t>
            </w:r>
          </w:p>
        </w:tc>
        <w:tc>
          <w:tcPr>
            <w:tcW w:w="1740" w:type="dxa"/>
            <w:shd w:val="clear" w:color="auto" w:fill="627D77" w:themeFill="background2"/>
            <w:vAlign w:val="bottom"/>
          </w:tcPr>
          <w:p w14:paraId="240F103D" w14:textId="77777777" w:rsidR="00F3287D" w:rsidRPr="004C01C1" w:rsidRDefault="00F3287D" w:rsidP="00021EC8">
            <w:pPr>
              <w:jc w:val="center"/>
              <w:rPr>
                <w:rFonts w:cstheme="minorHAnsi"/>
                <w:b/>
                <w:color w:val="FFFFFF" w:themeColor="background1"/>
              </w:rPr>
            </w:pPr>
            <w:r w:rsidRPr="004C01C1">
              <w:rPr>
                <w:rFonts w:cstheme="minorHAnsi"/>
                <w:b/>
                <w:color w:val="FFFFFF" w:themeColor="background1"/>
              </w:rPr>
              <w:t>Not Complete</w:t>
            </w:r>
          </w:p>
          <w:p w14:paraId="70EEB0C6" w14:textId="7B65B365" w:rsidR="00F3287D" w:rsidRPr="004C01C1" w:rsidRDefault="00F3287D" w:rsidP="00021EC8">
            <w:pPr>
              <w:jc w:val="center"/>
              <w:rPr>
                <w:rFonts w:cstheme="minorHAnsi"/>
                <w:b/>
                <w:color w:val="FFFFFF" w:themeColor="background1"/>
              </w:rPr>
            </w:pPr>
            <w:r w:rsidRPr="004C01C1">
              <w:rPr>
                <w:rFonts w:cstheme="minorHAnsi"/>
                <w:b/>
                <w:color w:val="FFFFFF" w:themeColor="background1"/>
              </w:rPr>
              <w:t>(</w:t>
            </w:r>
            <w:r w:rsidRPr="004C01C1">
              <w:rPr>
                <w:rFonts w:cstheme="minorHAnsi"/>
                <w:b/>
                <w:i/>
                <w:color w:val="FFFFFF" w:themeColor="background1"/>
              </w:rPr>
              <w:t>n</w:t>
            </w:r>
            <w:r w:rsidRPr="004C01C1">
              <w:rPr>
                <w:rFonts w:cstheme="minorHAnsi"/>
                <w:b/>
                <w:color w:val="FFFFFF" w:themeColor="background1"/>
              </w:rPr>
              <w:t xml:space="preserve"> = </w:t>
            </w:r>
            <w:r>
              <w:rPr>
                <w:rFonts w:cstheme="minorHAnsi"/>
                <w:b/>
                <w:color w:val="FFFFFF" w:themeColor="background1"/>
              </w:rPr>
              <w:t>29</w:t>
            </w:r>
            <w:r w:rsidRPr="004C01C1">
              <w:rPr>
                <w:rFonts w:cstheme="minorHAnsi"/>
                <w:b/>
                <w:color w:val="FFFFFF" w:themeColor="background1"/>
              </w:rPr>
              <w:t>)</w:t>
            </w:r>
          </w:p>
        </w:tc>
      </w:tr>
      <w:tr w:rsidR="00F3287D" w:rsidRPr="001159DF" w14:paraId="425AE24E" w14:textId="77777777" w:rsidTr="00021EC8">
        <w:trPr>
          <w:jc w:val="center"/>
        </w:trPr>
        <w:tc>
          <w:tcPr>
            <w:tcW w:w="2700" w:type="dxa"/>
          </w:tcPr>
          <w:p w14:paraId="0224F985" w14:textId="77777777" w:rsidR="00F3287D" w:rsidRPr="001159DF" w:rsidRDefault="00F3287D" w:rsidP="00021EC8">
            <w:pPr>
              <w:rPr>
                <w:rFonts w:cstheme="minorHAnsi"/>
              </w:rPr>
            </w:pPr>
            <w:r w:rsidRPr="001159DF">
              <w:rPr>
                <w:rFonts w:cstheme="minorHAnsi"/>
              </w:rPr>
              <w:t>Phone Calls</w:t>
            </w:r>
          </w:p>
        </w:tc>
        <w:tc>
          <w:tcPr>
            <w:tcW w:w="1740" w:type="dxa"/>
          </w:tcPr>
          <w:p w14:paraId="5F851285" w14:textId="1B832748" w:rsidR="00F3287D" w:rsidRPr="001159DF" w:rsidRDefault="00F3287D" w:rsidP="00021EC8">
            <w:pPr>
              <w:jc w:val="center"/>
              <w:rPr>
                <w:rFonts w:cstheme="minorHAnsi"/>
              </w:rPr>
            </w:pPr>
            <w:r>
              <w:rPr>
                <w:rFonts w:cstheme="minorHAnsi"/>
              </w:rPr>
              <w:t>21</w:t>
            </w:r>
          </w:p>
        </w:tc>
        <w:tc>
          <w:tcPr>
            <w:tcW w:w="1740" w:type="dxa"/>
          </w:tcPr>
          <w:p w14:paraId="0F2462CC" w14:textId="17C87C17" w:rsidR="00F3287D" w:rsidRPr="001159DF" w:rsidRDefault="00F3287D" w:rsidP="00021EC8">
            <w:pPr>
              <w:jc w:val="center"/>
              <w:rPr>
                <w:rFonts w:cstheme="minorHAnsi"/>
              </w:rPr>
            </w:pPr>
            <w:r>
              <w:rPr>
                <w:rFonts w:cstheme="minorHAnsi"/>
              </w:rPr>
              <w:t>2</w:t>
            </w:r>
          </w:p>
        </w:tc>
        <w:tc>
          <w:tcPr>
            <w:tcW w:w="1740" w:type="dxa"/>
          </w:tcPr>
          <w:p w14:paraId="01EED480" w14:textId="7483BE86" w:rsidR="00F3287D" w:rsidRPr="001159DF" w:rsidRDefault="00F3287D" w:rsidP="00021EC8">
            <w:pPr>
              <w:jc w:val="center"/>
              <w:rPr>
                <w:rFonts w:cstheme="minorHAnsi"/>
              </w:rPr>
            </w:pPr>
            <w:r>
              <w:rPr>
                <w:rFonts w:cstheme="minorHAnsi"/>
              </w:rPr>
              <w:t>19</w:t>
            </w:r>
          </w:p>
        </w:tc>
      </w:tr>
      <w:tr w:rsidR="00F3287D" w:rsidRPr="001159DF" w14:paraId="6F43D548" w14:textId="77777777" w:rsidTr="00021EC8">
        <w:trPr>
          <w:jc w:val="center"/>
        </w:trPr>
        <w:tc>
          <w:tcPr>
            <w:tcW w:w="2700" w:type="dxa"/>
          </w:tcPr>
          <w:p w14:paraId="33A89FD5" w14:textId="77777777" w:rsidR="00F3287D" w:rsidRPr="001159DF" w:rsidRDefault="00F3287D" w:rsidP="00021EC8">
            <w:pPr>
              <w:rPr>
                <w:rFonts w:cstheme="minorHAnsi"/>
              </w:rPr>
            </w:pPr>
            <w:r w:rsidRPr="001159DF">
              <w:rPr>
                <w:rFonts w:cstheme="minorHAnsi"/>
              </w:rPr>
              <w:t>Text</w:t>
            </w:r>
          </w:p>
        </w:tc>
        <w:tc>
          <w:tcPr>
            <w:tcW w:w="1740" w:type="dxa"/>
          </w:tcPr>
          <w:p w14:paraId="67088285" w14:textId="1186BFB7" w:rsidR="00F3287D" w:rsidRPr="001159DF" w:rsidRDefault="00F3287D" w:rsidP="00021EC8">
            <w:pPr>
              <w:jc w:val="center"/>
              <w:rPr>
                <w:rFonts w:cstheme="minorHAnsi"/>
              </w:rPr>
            </w:pPr>
            <w:r>
              <w:rPr>
                <w:rFonts w:cstheme="minorHAnsi"/>
              </w:rPr>
              <w:t>4</w:t>
            </w:r>
          </w:p>
        </w:tc>
        <w:tc>
          <w:tcPr>
            <w:tcW w:w="1740" w:type="dxa"/>
          </w:tcPr>
          <w:p w14:paraId="4C8427D8" w14:textId="014D4265" w:rsidR="00F3287D" w:rsidRPr="001159DF" w:rsidRDefault="00F3287D" w:rsidP="00021EC8">
            <w:pPr>
              <w:jc w:val="center"/>
              <w:rPr>
                <w:rFonts w:cstheme="minorHAnsi"/>
              </w:rPr>
            </w:pPr>
            <w:r>
              <w:rPr>
                <w:rFonts w:cstheme="minorHAnsi"/>
              </w:rPr>
              <w:t>0</w:t>
            </w:r>
          </w:p>
        </w:tc>
        <w:tc>
          <w:tcPr>
            <w:tcW w:w="1740" w:type="dxa"/>
          </w:tcPr>
          <w:p w14:paraId="04F96928" w14:textId="7D30FFE8" w:rsidR="00F3287D" w:rsidRPr="001159DF" w:rsidRDefault="00F3287D" w:rsidP="00021EC8">
            <w:pPr>
              <w:jc w:val="center"/>
              <w:rPr>
                <w:rFonts w:cstheme="minorHAnsi"/>
              </w:rPr>
            </w:pPr>
            <w:r>
              <w:rPr>
                <w:rFonts w:cstheme="minorHAnsi"/>
              </w:rPr>
              <w:t>4</w:t>
            </w:r>
          </w:p>
        </w:tc>
      </w:tr>
      <w:tr w:rsidR="00F3287D" w:rsidRPr="001159DF" w14:paraId="5887C736" w14:textId="77777777" w:rsidTr="00021EC8">
        <w:trPr>
          <w:jc w:val="center"/>
        </w:trPr>
        <w:tc>
          <w:tcPr>
            <w:tcW w:w="2700" w:type="dxa"/>
          </w:tcPr>
          <w:p w14:paraId="185A1C60" w14:textId="77777777" w:rsidR="00F3287D" w:rsidRPr="001159DF" w:rsidRDefault="00F3287D" w:rsidP="00021EC8">
            <w:pPr>
              <w:rPr>
                <w:rFonts w:cstheme="minorHAnsi"/>
              </w:rPr>
            </w:pPr>
            <w:r w:rsidRPr="001159DF">
              <w:rPr>
                <w:rFonts w:cstheme="minorHAnsi"/>
              </w:rPr>
              <w:t>Email</w:t>
            </w:r>
          </w:p>
        </w:tc>
        <w:tc>
          <w:tcPr>
            <w:tcW w:w="1740" w:type="dxa"/>
          </w:tcPr>
          <w:p w14:paraId="53FF5408" w14:textId="797578B0" w:rsidR="00F3287D" w:rsidRPr="001159DF" w:rsidRDefault="00F3287D" w:rsidP="00021EC8">
            <w:pPr>
              <w:jc w:val="center"/>
              <w:rPr>
                <w:rFonts w:cstheme="minorHAnsi"/>
              </w:rPr>
            </w:pPr>
            <w:r>
              <w:rPr>
                <w:rFonts w:cstheme="minorHAnsi"/>
              </w:rPr>
              <w:t>0</w:t>
            </w:r>
          </w:p>
        </w:tc>
        <w:tc>
          <w:tcPr>
            <w:tcW w:w="1740" w:type="dxa"/>
          </w:tcPr>
          <w:p w14:paraId="0547A9DA" w14:textId="0BF8CD79" w:rsidR="00F3287D" w:rsidRDefault="00F3287D" w:rsidP="00021EC8">
            <w:pPr>
              <w:jc w:val="center"/>
              <w:rPr>
                <w:rFonts w:cstheme="minorHAnsi"/>
              </w:rPr>
            </w:pPr>
            <w:r>
              <w:rPr>
                <w:rFonts w:cstheme="minorHAnsi"/>
              </w:rPr>
              <w:t>0</w:t>
            </w:r>
          </w:p>
        </w:tc>
        <w:tc>
          <w:tcPr>
            <w:tcW w:w="1740" w:type="dxa"/>
          </w:tcPr>
          <w:p w14:paraId="294BB5BC" w14:textId="5BD65067" w:rsidR="00F3287D" w:rsidRDefault="00F3287D" w:rsidP="00021EC8">
            <w:pPr>
              <w:jc w:val="center"/>
              <w:rPr>
                <w:rFonts w:cstheme="minorHAnsi"/>
              </w:rPr>
            </w:pPr>
            <w:r>
              <w:rPr>
                <w:rFonts w:cstheme="minorHAnsi"/>
              </w:rPr>
              <w:t>0</w:t>
            </w:r>
          </w:p>
        </w:tc>
      </w:tr>
      <w:tr w:rsidR="00F3287D" w:rsidRPr="001159DF" w14:paraId="6B0A1B3E" w14:textId="77777777" w:rsidTr="00021EC8">
        <w:trPr>
          <w:jc w:val="center"/>
        </w:trPr>
        <w:tc>
          <w:tcPr>
            <w:tcW w:w="2700" w:type="dxa"/>
          </w:tcPr>
          <w:p w14:paraId="6BF23B41" w14:textId="77777777" w:rsidR="00F3287D" w:rsidRPr="001159DF" w:rsidRDefault="00F3287D" w:rsidP="00021EC8">
            <w:pPr>
              <w:rPr>
                <w:rFonts w:cstheme="minorHAnsi"/>
              </w:rPr>
            </w:pPr>
            <w:r w:rsidRPr="001159DF">
              <w:rPr>
                <w:rFonts w:cstheme="minorHAnsi"/>
              </w:rPr>
              <w:t>Mail</w:t>
            </w:r>
          </w:p>
        </w:tc>
        <w:tc>
          <w:tcPr>
            <w:tcW w:w="1740" w:type="dxa"/>
          </w:tcPr>
          <w:p w14:paraId="46D8283F" w14:textId="2AA3F465" w:rsidR="00F3287D" w:rsidRPr="001159DF" w:rsidRDefault="00F3287D" w:rsidP="00021EC8">
            <w:pPr>
              <w:jc w:val="center"/>
              <w:rPr>
                <w:rFonts w:cstheme="minorHAnsi"/>
              </w:rPr>
            </w:pPr>
            <w:r>
              <w:rPr>
                <w:rFonts w:cstheme="minorHAnsi"/>
              </w:rPr>
              <w:t>0</w:t>
            </w:r>
          </w:p>
        </w:tc>
        <w:tc>
          <w:tcPr>
            <w:tcW w:w="1740" w:type="dxa"/>
          </w:tcPr>
          <w:p w14:paraId="6D8CC7A2" w14:textId="62EF57F3" w:rsidR="00F3287D" w:rsidRPr="001159DF" w:rsidRDefault="00F3287D" w:rsidP="00021EC8">
            <w:pPr>
              <w:jc w:val="center"/>
              <w:rPr>
                <w:rFonts w:cstheme="minorHAnsi"/>
              </w:rPr>
            </w:pPr>
            <w:r>
              <w:rPr>
                <w:rFonts w:cstheme="minorHAnsi"/>
              </w:rPr>
              <w:t>0</w:t>
            </w:r>
          </w:p>
        </w:tc>
        <w:tc>
          <w:tcPr>
            <w:tcW w:w="1740" w:type="dxa"/>
          </w:tcPr>
          <w:p w14:paraId="4CD38E62" w14:textId="47D779A0" w:rsidR="00F3287D" w:rsidRPr="001159DF" w:rsidRDefault="00F3287D" w:rsidP="00021EC8">
            <w:pPr>
              <w:jc w:val="center"/>
              <w:rPr>
                <w:rFonts w:cstheme="minorHAnsi"/>
              </w:rPr>
            </w:pPr>
            <w:r>
              <w:rPr>
                <w:rFonts w:cstheme="minorHAnsi"/>
              </w:rPr>
              <w:t>0</w:t>
            </w:r>
          </w:p>
        </w:tc>
      </w:tr>
      <w:tr w:rsidR="00F3287D" w:rsidRPr="001159DF" w14:paraId="13207428" w14:textId="77777777" w:rsidTr="00021EC8">
        <w:trPr>
          <w:jc w:val="center"/>
        </w:trPr>
        <w:tc>
          <w:tcPr>
            <w:tcW w:w="2700" w:type="dxa"/>
          </w:tcPr>
          <w:p w14:paraId="7DC40AF6" w14:textId="77777777" w:rsidR="00F3287D" w:rsidRPr="001159DF" w:rsidRDefault="00F3287D" w:rsidP="00021EC8">
            <w:pPr>
              <w:rPr>
                <w:rFonts w:cstheme="minorHAnsi"/>
              </w:rPr>
            </w:pPr>
            <w:r w:rsidRPr="001159DF">
              <w:rPr>
                <w:rFonts w:cstheme="minorHAnsi"/>
              </w:rPr>
              <w:t>In-Person</w:t>
            </w:r>
          </w:p>
        </w:tc>
        <w:tc>
          <w:tcPr>
            <w:tcW w:w="1740" w:type="dxa"/>
          </w:tcPr>
          <w:p w14:paraId="64E57FDE" w14:textId="6EE3954A" w:rsidR="00F3287D" w:rsidRPr="001159DF" w:rsidRDefault="00F3287D" w:rsidP="00021EC8">
            <w:pPr>
              <w:jc w:val="center"/>
              <w:rPr>
                <w:rFonts w:cstheme="minorHAnsi"/>
              </w:rPr>
            </w:pPr>
            <w:r>
              <w:rPr>
                <w:rFonts w:cstheme="minorHAnsi"/>
              </w:rPr>
              <w:t>0</w:t>
            </w:r>
          </w:p>
        </w:tc>
        <w:tc>
          <w:tcPr>
            <w:tcW w:w="1740" w:type="dxa"/>
          </w:tcPr>
          <w:p w14:paraId="53675545" w14:textId="130DE514" w:rsidR="00F3287D" w:rsidRPr="001159DF" w:rsidRDefault="00F3287D" w:rsidP="00021EC8">
            <w:pPr>
              <w:jc w:val="center"/>
              <w:rPr>
                <w:rFonts w:cstheme="minorHAnsi"/>
              </w:rPr>
            </w:pPr>
            <w:r>
              <w:rPr>
                <w:rFonts w:cstheme="minorHAnsi"/>
              </w:rPr>
              <w:t>0</w:t>
            </w:r>
          </w:p>
        </w:tc>
        <w:tc>
          <w:tcPr>
            <w:tcW w:w="1740" w:type="dxa"/>
          </w:tcPr>
          <w:p w14:paraId="3E3F07F1" w14:textId="3061D2C8" w:rsidR="00F3287D" w:rsidRPr="001159DF" w:rsidRDefault="00F3287D" w:rsidP="00021EC8">
            <w:pPr>
              <w:jc w:val="center"/>
              <w:rPr>
                <w:rFonts w:cstheme="minorHAnsi"/>
              </w:rPr>
            </w:pPr>
            <w:r>
              <w:rPr>
                <w:rFonts w:cstheme="minorHAnsi"/>
              </w:rPr>
              <w:t>0</w:t>
            </w:r>
          </w:p>
        </w:tc>
      </w:tr>
      <w:tr w:rsidR="00F3287D" w:rsidRPr="001159DF" w14:paraId="3A48735C" w14:textId="77777777" w:rsidTr="00021EC8">
        <w:trPr>
          <w:jc w:val="center"/>
        </w:trPr>
        <w:tc>
          <w:tcPr>
            <w:tcW w:w="2700" w:type="dxa"/>
          </w:tcPr>
          <w:p w14:paraId="5F14E092" w14:textId="77777777" w:rsidR="00F3287D" w:rsidRPr="001159DF" w:rsidRDefault="00F3287D" w:rsidP="00021EC8">
            <w:pPr>
              <w:rPr>
                <w:rFonts w:cstheme="minorHAnsi"/>
              </w:rPr>
            </w:pPr>
            <w:r w:rsidRPr="001159DF">
              <w:rPr>
                <w:rFonts w:cstheme="minorHAnsi"/>
              </w:rPr>
              <w:t>Social Media</w:t>
            </w:r>
          </w:p>
        </w:tc>
        <w:tc>
          <w:tcPr>
            <w:tcW w:w="1740" w:type="dxa"/>
          </w:tcPr>
          <w:p w14:paraId="3EF82A2A" w14:textId="2BE3267B" w:rsidR="00F3287D" w:rsidRPr="001159DF" w:rsidRDefault="00F3287D" w:rsidP="00021EC8">
            <w:pPr>
              <w:jc w:val="center"/>
              <w:rPr>
                <w:rFonts w:cstheme="minorHAnsi"/>
              </w:rPr>
            </w:pPr>
            <w:r>
              <w:rPr>
                <w:rFonts w:cstheme="minorHAnsi"/>
              </w:rPr>
              <w:t>0</w:t>
            </w:r>
          </w:p>
        </w:tc>
        <w:tc>
          <w:tcPr>
            <w:tcW w:w="1740" w:type="dxa"/>
          </w:tcPr>
          <w:p w14:paraId="51766107" w14:textId="1719D954" w:rsidR="00F3287D" w:rsidRPr="001159DF" w:rsidRDefault="00F3287D" w:rsidP="00021EC8">
            <w:pPr>
              <w:jc w:val="center"/>
              <w:rPr>
                <w:rFonts w:cstheme="minorHAnsi"/>
              </w:rPr>
            </w:pPr>
            <w:r>
              <w:rPr>
                <w:rFonts w:cstheme="minorHAnsi"/>
              </w:rPr>
              <w:t>0</w:t>
            </w:r>
          </w:p>
        </w:tc>
        <w:tc>
          <w:tcPr>
            <w:tcW w:w="1740" w:type="dxa"/>
          </w:tcPr>
          <w:p w14:paraId="4575263B" w14:textId="33E00C76" w:rsidR="00F3287D" w:rsidRPr="001159DF" w:rsidRDefault="00F3287D" w:rsidP="00021EC8">
            <w:pPr>
              <w:jc w:val="center"/>
              <w:rPr>
                <w:rFonts w:cstheme="minorHAnsi"/>
              </w:rPr>
            </w:pPr>
            <w:r>
              <w:rPr>
                <w:rFonts w:cstheme="minorHAnsi"/>
              </w:rPr>
              <w:t>0</w:t>
            </w:r>
          </w:p>
        </w:tc>
      </w:tr>
      <w:tr w:rsidR="00F3287D" w:rsidRPr="001159DF" w14:paraId="6004828E" w14:textId="77777777" w:rsidTr="00021EC8">
        <w:trPr>
          <w:jc w:val="center"/>
        </w:trPr>
        <w:tc>
          <w:tcPr>
            <w:tcW w:w="2700" w:type="dxa"/>
          </w:tcPr>
          <w:p w14:paraId="087E66AB" w14:textId="77777777" w:rsidR="00F3287D" w:rsidRPr="001159DF" w:rsidRDefault="00F3287D" w:rsidP="00021EC8">
            <w:pPr>
              <w:rPr>
                <w:rFonts w:cstheme="minorHAnsi"/>
              </w:rPr>
            </w:pPr>
            <w:r w:rsidRPr="001159DF">
              <w:rPr>
                <w:rFonts w:cstheme="minorHAnsi"/>
              </w:rPr>
              <w:t>Other (e.g., online search)</w:t>
            </w:r>
          </w:p>
        </w:tc>
        <w:tc>
          <w:tcPr>
            <w:tcW w:w="1740" w:type="dxa"/>
          </w:tcPr>
          <w:p w14:paraId="74356437" w14:textId="4447F40E" w:rsidR="00F3287D" w:rsidRPr="001159DF" w:rsidRDefault="00F3287D" w:rsidP="00021EC8">
            <w:pPr>
              <w:jc w:val="center"/>
              <w:rPr>
                <w:rFonts w:cstheme="minorHAnsi"/>
              </w:rPr>
            </w:pPr>
            <w:r>
              <w:rPr>
                <w:rFonts w:cstheme="minorHAnsi"/>
              </w:rPr>
              <w:t>0</w:t>
            </w:r>
          </w:p>
        </w:tc>
        <w:tc>
          <w:tcPr>
            <w:tcW w:w="1740" w:type="dxa"/>
          </w:tcPr>
          <w:p w14:paraId="3F5297BA" w14:textId="55B333AC" w:rsidR="00F3287D" w:rsidRDefault="00F3287D" w:rsidP="00021EC8">
            <w:pPr>
              <w:jc w:val="center"/>
              <w:rPr>
                <w:rFonts w:cstheme="minorHAnsi"/>
              </w:rPr>
            </w:pPr>
            <w:r>
              <w:rPr>
                <w:rFonts w:cstheme="minorHAnsi"/>
              </w:rPr>
              <w:t>0</w:t>
            </w:r>
          </w:p>
        </w:tc>
        <w:tc>
          <w:tcPr>
            <w:tcW w:w="1740" w:type="dxa"/>
          </w:tcPr>
          <w:p w14:paraId="5E939D40" w14:textId="354AE17C" w:rsidR="00F3287D" w:rsidRDefault="00F3287D" w:rsidP="00021EC8">
            <w:pPr>
              <w:jc w:val="center"/>
              <w:rPr>
                <w:rFonts w:cstheme="minorHAnsi"/>
              </w:rPr>
            </w:pPr>
            <w:r>
              <w:rPr>
                <w:rFonts w:cstheme="minorHAnsi"/>
              </w:rPr>
              <w:t>0</w:t>
            </w:r>
          </w:p>
        </w:tc>
      </w:tr>
      <w:tr w:rsidR="00F3287D" w:rsidRPr="001159DF" w14:paraId="52EF68B9" w14:textId="77777777" w:rsidTr="00021EC8">
        <w:trPr>
          <w:jc w:val="center"/>
        </w:trPr>
        <w:tc>
          <w:tcPr>
            <w:tcW w:w="2700" w:type="dxa"/>
            <w:shd w:val="clear" w:color="auto" w:fill="627D77" w:themeFill="background2"/>
          </w:tcPr>
          <w:p w14:paraId="2811676A" w14:textId="77777777" w:rsidR="00F3287D" w:rsidRPr="004C01C1" w:rsidRDefault="00F3287D" w:rsidP="00021EC8">
            <w:pPr>
              <w:jc w:val="center"/>
              <w:rPr>
                <w:rFonts w:cstheme="minorHAnsi"/>
                <w:b/>
                <w:color w:val="FFFFFF" w:themeColor="background1"/>
              </w:rPr>
            </w:pPr>
            <w:r w:rsidRPr="004C01C1">
              <w:rPr>
                <w:rFonts w:cstheme="minorHAnsi"/>
                <w:b/>
                <w:color w:val="FFFFFF" w:themeColor="background1"/>
              </w:rPr>
              <w:t>Total</w:t>
            </w:r>
          </w:p>
        </w:tc>
        <w:tc>
          <w:tcPr>
            <w:tcW w:w="1740" w:type="dxa"/>
            <w:shd w:val="clear" w:color="auto" w:fill="627D77" w:themeFill="background2"/>
          </w:tcPr>
          <w:p w14:paraId="3EB92194" w14:textId="1099AC9B" w:rsidR="00F3287D" w:rsidRPr="004C01C1" w:rsidRDefault="00F3287D" w:rsidP="00021EC8">
            <w:pPr>
              <w:jc w:val="center"/>
              <w:rPr>
                <w:rFonts w:cstheme="minorHAnsi"/>
                <w:b/>
                <w:color w:val="FFFFFF" w:themeColor="background1"/>
              </w:rPr>
            </w:pPr>
            <w:r>
              <w:rPr>
                <w:rFonts w:cstheme="minorHAnsi"/>
                <w:b/>
                <w:color w:val="FFFFFF" w:themeColor="background1"/>
              </w:rPr>
              <w:t>25</w:t>
            </w:r>
          </w:p>
        </w:tc>
        <w:tc>
          <w:tcPr>
            <w:tcW w:w="1740" w:type="dxa"/>
            <w:shd w:val="clear" w:color="auto" w:fill="627D77" w:themeFill="background2"/>
          </w:tcPr>
          <w:p w14:paraId="5F49FCF6" w14:textId="56D22440" w:rsidR="00F3287D" w:rsidRPr="004C01C1" w:rsidRDefault="00F3287D" w:rsidP="00021EC8">
            <w:pPr>
              <w:jc w:val="center"/>
              <w:rPr>
                <w:rFonts w:cstheme="minorHAnsi"/>
                <w:b/>
                <w:color w:val="FFFFFF" w:themeColor="background1"/>
              </w:rPr>
            </w:pPr>
            <w:r>
              <w:rPr>
                <w:rFonts w:cstheme="minorHAnsi"/>
                <w:b/>
                <w:color w:val="FFFFFF" w:themeColor="background1"/>
              </w:rPr>
              <w:t>2</w:t>
            </w:r>
          </w:p>
        </w:tc>
        <w:tc>
          <w:tcPr>
            <w:tcW w:w="1740" w:type="dxa"/>
            <w:shd w:val="clear" w:color="auto" w:fill="627D77" w:themeFill="background2"/>
          </w:tcPr>
          <w:p w14:paraId="347A4D2C" w14:textId="1EB2F6B1" w:rsidR="00F3287D" w:rsidRPr="004C01C1" w:rsidRDefault="00F3287D" w:rsidP="00021EC8">
            <w:pPr>
              <w:jc w:val="center"/>
              <w:rPr>
                <w:rFonts w:cstheme="minorHAnsi"/>
                <w:b/>
                <w:color w:val="FFFFFF" w:themeColor="background1"/>
              </w:rPr>
            </w:pPr>
            <w:r>
              <w:rPr>
                <w:rFonts w:cstheme="minorHAnsi"/>
                <w:b/>
                <w:color w:val="FFFFFF" w:themeColor="background1"/>
              </w:rPr>
              <w:t>23</w:t>
            </w:r>
          </w:p>
        </w:tc>
      </w:tr>
    </w:tbl>
    <w:p w14:paraId="764AD87F" w14:textId="733645FB" w:rsidR="00F3287D" w:rsidRDefault="00F3287D" w:rsidP="00F3287D">
      <w:pPr>
        <w:spacing w:after="0" w:line="240" w:lineRule="auto"/>
        <w:jc w:val="center"/>
      </w:pPr>
    </w:p>
    <w:p w14:paraId="0427B429" w14:textId="6A20404F" w:rsidR="00ED1051" w:rsidRDefault="00ED1051" w:rsidP="00ED1051">
      <w:pPr>
        <w:spacing w:after="0" w:line="240" w:lineRule="auto"/>
        <w:rPr>
          <w:b/>
          <w:bCs/>
          <w:u w:val="single"/>
        </w:rPr>
      </w:pPr>
      <w:r>
        <w:rPr>
          <w:b/>
          <w:bCs/>
          <w:u w:val="single"/>
        </w:rPr>
        <w:t>CONTACT EFFORTS</w:t>
      </w:r>
    </w:p>
    <w:p w14:paraId="72500DE8" w14:textId="04327D1D" w:rsidR="00ED1051" w:rsidRDefault="00ED1051" w:rsidP="00ED1051">
      <w:pPr>
        <w:spacing w:after="0" w:line="240" w:lineRule="auto"/>
      </w:pPr>
    </w:p>
    <w:p w14:paraId="1FF67084" w14:textId="267D2EB2" w:rsidR="00ED1051" w:rsidRDefault="00ED1051" w:rsidP="00ED1051">
      <w:pPr>
        <w:spacing w:after="0" w:line="240" w:lineRule="auto"/>
      </w:pPr>
      <w:r>
        <w:rPr>
          <w:b/>
          <w:bCs/>
          <w:i/>
          <w:iCs/>
        </w:rPr>
        <w:t>Challenges and Barriers.</w:t>
      </w:r>
      <w:r>
        <w:t xml:space="preserve"> The evaluation team experienced a few challenges and barriers to completing GPRAs with clients.  Specifically:</w:t>
      </w:r>
    </w:p>
    <w:p w14:paraId="2B75353D" w14:textId="4A881F14" w:rsidR="00ED1051" w:rsidRDefault="00ED1051" w:rsidP="00ED1051">
      <w:pPr>
        <w:spacing w:after="0" w:line="240" w:lineRule="auto"/>
      </w:pPr>
    </w:p>
    <w:p w14:paraId="7D011B55" w14:textId="5F46BE23" w:rsidR="00AE7438" w:rsidRPr="005B1F16" w:rsidRDefault="00AE7438" w:rsidP="00AE7438">
      <w:pPr>
        <w:pStyle w:val="ListParagraph"/>
        <w:numPr>
          <w:ilvl w:val="0"/>
          <w:numId w:val="3"/>
        </w:numPr>
        <w:spacing w:after="0" w:line="240" w:lineRule="auto"/>
        <w:ind w:left="720"/>
        <w:contextualSpacing w:val="0"/>
      </w:pPr>
      <w:r>
        <w:t>Due to t</w:t>
      </w:r>
      <w:r w:rsidRPr="005B1F16">
        <w:t xml:space="preserve">he </w:t>
      </w:r>
      <w:r>
        <w:t>continuing</w:t>
      </w:r>
      <w:r w:rsidRPr="005B1F16">
        <w:t xml:space="preserve"> COVID-19 </w:t>
      </w:r>
      <w:r>
        <w:t xml:space="preserve">pandemic, the R&amp;E Group department suspended all in-person data collection activities for several months.  This </w:t>
      </w:r>
      <w:r w:rsidRPr="005B1F16">
        <w:t>prevented the evaluation team from having anyone on-site to build rapport with clients</w:t>
      </w:r>
      <w:r>
        <w:t xml:space="preserve">, </w:t>
      </w:r>
      <w:r w:rsidRPr="005B1F16">
        <w:t>collect locator information in-person</w:t>
      </w:r>
      <w:r>
        <w:t>, and complete GPRAs in-person.</w:t>
      </w:r>
    </w:p>
    <w:p w14:paraId="2E829200" w14:textId="77777777" w:rsidR="00AE7438" w:rsidRDefault="00AE7438" w:rsidP="00AE7438">
      <w:pPr>
        <w:pStyle w:val="ListParagraph"/>
        <w:numPr>
          <w:ilvl w:val="0"/>
          <w:numId w:val="3"/>
        </w:numPr>
        <w:spacing w:after="0" w:line="240" w:lineRule="auto"/>
        <w:ind w:left="720"/>
        <w:contextualSpacing w:val="0"/>
      </w:pPr>
      <w:r w:rsidRPr="005B1F16">
        <w:t>The contact information that the evaluation and IHW teams collect are self-report</w:t>
      </w:r>
      <w:r>
        <w:t>ed</w:t>
      </w:r>
      <w:r w:rsidRPr="005B1F16">
        <w:t>, so sometimes one or both teams receive inaccurate or incomplete contact information</w:t>
      </w:r>
      <w:r>
        <w:t xml:space="preserve"> that make it difficult to get in touch with clients.</w:t>
      </w:r>
    </w:p>
    <w:p w14:paraId="6227E93B" w14:textId="3F13BDCB" w:rsidR="00AE7438" w:rsidRPr="005B1F16" w:rsidRDefault="00AE7438" w:rsidP="00AE7438">
      <w:pPr>
        <w:pStyle w:val="ListParagraph"/>
        <w:numPr>
          <w:ilvl w:val="0"/>
          <w:numId w:val="3"/>
        </w:numPr>
        <w:spacing w:after="0" w:line="240" w:lineRule="auto"/>
        <w:ind w:left="720"/>
        <w:contextualSpacing w:val="0"/>
      </w:pPr>
      <w:r>
        <w:t xml:space="preserve">The evaluation team is not always able to meet with clients to gather locator information if the client unexpectedly leaves the program. </w:t>
      </w:r>
    </w:p>
    <w:p w14:paraId="7AA07649" w14:textId="5908167B" w:rsidR="00ED1051" w:rsidRDefault="00ED1051" w:rsidP="00ED1051">
      <w:pPr>
        <w:spacing w:after="0" w:line="240" w:lineRule="auto"/>
      </w:pPr>
    </w:p>
    <w:p w14:paraId="26536180" w14:textId="24062C4C" w:rsidR="00ED1051" w:rsidRDefault="00ED1051" w:rsidP="00ED1051">
      <w:pPr>
        <w:spacing w:after="0" w:line="240" w:lineRule="auto"/>
      </w:pPr>
      <w:r>
        <w:rPr>
          <w:b/>
          <w:bCs/>
          <w:i/>
          <w:iCs/>
        </w:rPr>
        <w:t>Strategies and Successes.</w:t>
      </w:r>
      <w:r>
        <w:t xml:space="preserve"> Due to the challenges and barriers mentioned above, the GPRA completion rate is lower than the target 80% rate.  In response, the evaluation team brainstormed and implemented several strategies that have yielded successful collection of information.  Specifically:</w:t>
      </w:r>
    </w:p>
    <w:p w14:paraId="1BDE2884" w14:textId="34C51FAE" w:rsidR="00ED1051" w:rsidRDefault="00ED1051" w:rsidP="00ED1051">
      <w:pPr>
        <w:spacing w:after="0" w:line="240" w:lineRule="auto"/>
      </w:pPr>
    </w:p>
    <w:p w14:paraId="2AE8E032" w14:textId="77777777" w:rsidR="00BD4F43" w:rsidRDefault="00BD4F43" w:rsidP="00BD4F43">
      <w:pPr>
        <w:pStyle w:val="ListParagraph"/>
        <w:numPr>
          <w:ilvl w:val="0"/>
          <w:numId w:val="4"/>
        </w:numPr>
        <w:spacing w:after="0" w:line="240" w:lineRule="auto"/>
        <w:ind w:left="720"/>
        <w:contextualSpacing w:val="0"/>
      </w:pPr>
      <w:r>
        <w:t>The evaluation team and</w:t>
      </w:r>
      <w:r w:rsidRPr="005B1F16">
        <w:t xml:space="preserve"> IHW staff identified </w:t>
      </w:r>
      <w:r>
        <w:t>point people</w:t>
      </w:r>
      <w:r w:rsidRPr="005B1F16">
        <w:t xml:space="preserve"> for </w:t>
      </w:r>
      <w:r>
        <w:t xml:space="preserve">communicating </w:t>
      </w:r>
      <w:r w:rsidRPr="005B1F16">
        <w:t>questions and inquiries</w:t>
      </w:r>
      <w:r>
        <w:t xml:space="preserve"> in a more efficient manner</w:t>
      </w:r>
      <w:r w:rsidRPr="005B1F16">
        <w:t xml:space="preserve">.  This </w:t>
      </w:r>
      <w:r>
        <w:t>has resulted in more timely and informative exchanges of information.</w:t>
      </w:r>
    </w:p>
    <w:p w14:paraId="39EF674E" w14:textId="13EBEC7B" w:rsidR="00AE7438" w:rsidRPr="005B1F16" w:rsidRDefault="00AE7438" w:rsidP="00AE7438">
      <w:pPr>
        <w:pStyle w:val="ListParagraph"/>
        <w:numPr>
          <w:ilvl w:val="0"/>
          <w:numId w:val="4"/>
        </w:numPr>
        <w:spacing w:after="0" w:line="240" w:lineRule="auto"/>
        <w:ind w:left="720"/>
        <w:contextualSpacing w:val="0"/>
      </w:pPr>
      <w:r w:rsidRPr="005B1F16">
        <w:t xml:space="preserve">The IHW team </w:t>
      </w:r>
      <w:r>
        <w:t>allow</w:t>
      </w:r>
      <w:r w:rsidR="00BD4F43">
        <w:t>ed</w:t>
      </w:r>
      <w:r w:rsidRPr="005B1F16">
        <w:t xml:space="preserve"> clients access</w:t>
      </w:r>
      <w:r w:rsidR="00BD4F43">
        <w:t xml:space="preserve"> to</w:t>
      </w:r>
      <w:r w:rsidRPr="005B1F16">
        <w:t xml:space="preserve"> their cell phones during locator calls so the Interviewers could collect more comprehensive </w:t>
      </w:r>
      <w:r w:rsidR="00BD4F43">
        <w:t xml:space="preserve">and accurate </w:t>
      </w:r>
      <w:r w:rsidRPr="005B1F16">
        <w:t xml:space="preserve">contact information.  </w:t>
      </w:r>
    </w:p>
    <w:p w14:paraId="305AE97D" w14:textId="0354D64A" w:rsidR="00AE7438" w:rsidRPr="005B1F16" w:rsidRDefault="00AE7438" w:rsidP="00AE7438">
      <w:pPr>
        <w:pStyle w:val="ListParagraph"/>
        <w:numPr>
          <w:ilvl w:val="0"/>
          <w:numId w:val="4"/>
        </w:numPr>
        <w:spacing w:after="0" w:line="240" w:lineRule="auto"/>
        <w:ind w:left="720"/>
        <w:contextualSpacing w:val="0"/>
      </w:pPr>
      <w:r w:rsidRPr="005B1F16">
        <w:t xml:space="preserve">The Interviewers increased virtual communication with IHW staff since they could not be on-site during the COVID-19 pandemic.  Every Monday, an Interviewer emails the IHW staff asking if any clients will be discharged that week and if so, if a call </w:t>
      </w:r>
      <w:r w:rsidR="00BD4F43">
        <w:t xml:space="preserve">can be arranged between an Interviewer and the client </w:t>
      </w:r>
      <w:r w:rsidRPr="005B1F16">
        <w:t>to complete a discharge GPRA before the client leaves the facility.</w:t>
      </w:r>
    </w:p>
    <w:p w14:paraId="2ABC2532" w14:textId="3F94C743" w:rsidR="00AE7438" w:rsidRDefault="00AE7438" w:rsidP="00AE7438">
      <w:pPr>
        <w:pStyle w:val="ListParagraph"/>
        <w:numPr>
          <w:ilvl w:val="0"/>
          <w:numId w:val="4"/>
        </w:numPr>
        <w:spacing w:after="0" w:line="240" w:lineRule="auto"/>
        <w:ind w:left="720"/>
        <w:contextualSpacing w:val="0"/>
      </w:pPr>
      <w:r w:rsidRPr="005B1F16">
        <w:t>Since</w:t>
      </w:r>
      <w:r w:rsidR="00BD4F43">
        <w:t xml:space="preserve"> the</w:t>
      </w:r>
      <w:r w:rsidRPr="005B1F16">
        <w:t xml:space="preserve"> Interviewers could</w:t>
      </w:r>
      <w:r w:rsidR="00BD4F43">
        <w:t xml:space="preserve"> no</w:t>
      </w:r>
      <w:r w:rsidRPr="005B1F16">
        <w:t>t be on-site to introduce themselves and the evaluation</w:t>
      </w:r>
      <w:r w:rsidR="00BD4F43">
        <w:t xml:space="preserve"> to clients</w:t>
      </w:r>
      <w:r w:rsidRPr="005B1F16">
        <w:t>, the evaluation team created flyers for both clients and IHW staff that could be posted on-site.  The flyers include information on the purpose of the evaluation, what they will be asked to do, and who to contact if they have questions.</w:t>
      </w:r>
    </w:p>
    <w:p w14:paraId="0EEBBF44" w14:textId="4A901113" w:rsidR="00AE7438" w:rsidRPr="003648F6" w:rsidRDefault="00AE7438" w:rsidP="00AE7438">
      <w:pPr>
        <w:pStyle w:val="ListParagraph"/>
        <w:numPr>
          <w:ilvl w:val="0"/>
          <w:numId w:val="4"/>
        </w:numPr>
        <w:spacing w:after="0" w:line="240" w:lineRule="auto"/>
        <w:ind w:left="720"/>
        <w:contextualSpacing w:val="0"/>
      </w:pPr>
      <w:r>
        <w:t xml:space="preserve">The evaluation team attended multiple CSAT Technical Assistance virtual seminars to receive recommendations on improving our follow-up rate. </w:t>
      </w:r>
      <w:r w:rsidR="00BD4F43">
        <w:t xml:space="preserve"> </w:t>
      </w:r>
      <w:r>
        <w:t xml:space="preserve">Some strategies that were recommended are already being implemented by the evaluation team. </w:t>
      </w:r>
      <w:r w:rsidR="00BD4F43">
        <w:t xml:space="preserve"> </w:t>
      </w:r>
      <w:r>
        <w:t xml:space="preserve">This </w:t>
      </w:r>
      <w:proofErr w:type="gramStart"/>
      <w:r>
        <w:t>includes, but</w:t>
      </w:r>
      <w:proofErr w:type="gramEnd"/>
      <w:r>
        <w:t xml:space="preserve"> is not limited to: </w:t>
      </w:r>
      <w:r w:rsidR="00BD4F43">
        <w:t>u</w:t>
      </w:r>
      <w:r>
        <w:t>se of locator forms and tracking spreadsheets, providing incentives for completing interviews, and acquiring contact information for various individual</w:t>
      </w:r>
      <w:r w:rsidR="00BD4F43">
        <w:t>s</w:t>
      </w:r>
      <w:r>
        <w:t xml:space="preserve"> connected to the client (friends, family, probation office</w:t>
      </w:r>
      <w:r w:rsidR="00BD4F43">
        <w:t>r</w:t>
      </w:r>
      <w:r>
        <w:t>s, etc</w:t>
      </w:r>
      <w:r w:rsidR="00BD4F43">
        <w:t>.</w:t>
      </w:r>
      <w:r>
        <w:t>).</w:t>
      </w:r>
      <w:r w:rsidR="00BD4F43">
        <w:t xml:space="preserve"> </w:t>
      </w:r>
      <w:r>
        <w:t xml:space="preserve"> Some new strategies we may implement for Year 4 </w:t>
      </w:r>
      <w:r w:rsidR="00BD4F43">
        <w:t>include: using</w:t>
      </w:r>
      <w:r>
        <w:t xml:space="preserve"> social media to connect </w:t>
      </w:r>
      <w:r w:rsidR="00BD4F43">
        <w:t>with</w:t>
      </w:r>
      <w:r>
        <w:t xml:space="preserve"> client</w:t>
      </w:r>
      <w:r w:rsidR="00BD4F43">
        <w:t xml:space="preserve">s, </w:t>
      </w:r>
      <w:r>
        <w:t>giving clients appointment cards</w:t>
      </w:r>
      <w:r w:rsidR="00BD4F43">
        <w:t>, and giving clients and their children birthday and holiday cards</w:t>
      </w:r>
      <w:r>
        <w:t xml:space="preserve">. </w:t>
      </w:r>
    </w:p>
    <w:p w14:paraId="58A5FA10" w14:textId="2959791E" w:rsidR="00ED1051" w:rsidRDefault="00ED1051" w:rsidP="00ED1051">
      <w:pPr>
        <w:spacing w:after="0" w:line="240" w:lineRule="auto"/>
      </w:pPr>
    </w:p>
    <w:p w14:paraId="68882E1E" w14:textId="7D8620D8" w:rsidR="00ED1051" w:rsidRDefault="00ED1051" w:rsidP="00ED1051">
      <w:pPr>
        <w:spacing w:after="0" w:line="240" w:lineRule="auto"/>
      </w:pPr>
      <w:r>
        <w:rPr>
          <w:b/>
          <w:bCs/>
          <w:u w:val="single"/>
        </w:rPr>
        <w:t>NEEDS ASSESSMENTS</w:t>
      </w:r>
      <w:r>
        <w:rPr>
          <w:b/>
          <w:bCs/>
          <w:u w:val="single"/>
        </w:rPr>
        <w:br/>
      </w:r>
    </w:p>
    <w:p w14:paraId="1DA6EA85" w14:textId="3FA1D193" w:rsidR="00ED1051" w:rsidRDefault="00ED1051" w:rsidP="00ED1051">
      <w:pPr>
        <w:spacing w:after="0" w:line="240" w:lineRule="auto"/>
      </w:pPr>
      <w:r>
        <w:rPr>
          <w:b/>
          <w:bCs/>
          <w:i/>
          <w:iCs/>
        </w:rPr>
        <w:t xml:space="preserve">Year 2 Needs Assessments. </w:t>
      </w:r>
      <w:r>
        <w:t xml:space="preserve">In Year 2, the evaluation team had distributed paper surveys to IHW staff and clients.  During this reporting period, the evaluation team analyzed the survey data.  Major findings </w:t>
      </w:r>
      <w:r w:rsidR="007472A7">
        <w:t xml:space="preserve">from the clients’ needs assessments </w:t>
      </w:r>
      <w:r>
        <w:t>are shared below.</w:t>
      </w:r>
      <w:r w:rsidR="00222E10">
        <w:t xml:space="preserve">  Findings from the staff needs assessments, and additional findings from the client needs assessments, will be shared with IHW leadership at future continuous quality improvement meetings.</w:t>
      </w:r>
    </w:p>
    <w:p w14:paraId="048AB1D2" w14:textId="57D48760" w:rsidR="00ED1051" w:rsidRDefault="00ED1051" w:rsidP="00ED1051">
      <w:pPr>
        <w:spacing w:after="0" w:line="240" w:lineRule="auto"/>
      </w:pPr>
    </w:p>
    <w:p w14:paraId="2497DA6D" w14:textId="456D06AE" w:rsidR="00CA0A2C" w:rsidRDefault="007472A7" w:rsidP="007472A7">
      <w:pPr>
        <w:spacing w:after="0" w:line="240" w:lineRule="auto"/>
      </w:pPr>
      <w:r>
        <w:rPr>
          <w:i/>
          <w:iCs/>
          <w:u w:val="single"/>
        </w:rPr>
        <w:lastRenderedPageBreak/>
        <w:t>Physical Environment</w:t>
      </w:r>
      <w:r>
        <w:t xml:space="preserve">: </w:t>
      </w:r>
      <w:r w:rsidR="00B9148E">
        <w:t>Collectively,</w:t>
      </w:r>
      <w:r>
        <w:t xml:space="preserve"> clients rated IHW’s physical space highly.  </w:t>
      </w:r>
      <w:r w:rsidR="00B9148E">
        <w:t xml:space="preserve">Specifically, all clients agreed that IHW’s facilities are spacious, lively and stimulating, and comfortable, safe, and </w:t>
      </w:r>
      <w:proofErr w:type="gramStart"/>
      <w:r w:rsidR="00B9148E">
        <w:t>child-friendly</w:t>
      </w:r>
      <w:proofErr w:type="gramEnd"/>
      <w:r w:rsidR="00B9148E">
        <w:t xml:space="preserve">.  </w:t>
      </w:r>
      <w:r>
        <w:t>See Figure 3 below.</w:t>
      </w:r>
    </w:p>
    <w:p w14:paraId="2DB0BF8F" w14:textId="609B09E5" w:rsidR="007472A7" w:rsidRDefault="007472A7" w:rsidP="007472A7">
      <w:pPr>
        <w:spacing w:after="0" w:line="240" w:lineRule="auto"/>
      </w:pPr>
    </w:p>
    <w:p w14:paraId="36D78D67" w14:textId="6CABD60C" w:rsidR="007472A7" w:rsidRDefault="00B9148E" w:rsidP="007472A7">
      <w:pPr>
        <w:spacing w:after="0" w:line="240" w:lineRule="auto"/>
        <w:jc w:val="center"/>
        <w:rPr>
          <w:b/>
          <w:bCs/>
        </w:rPr>
      </w:pPr>
      <w:r>
        <w:rPr>
          <w:noProof/>
        </w:rPr>
        <w:drawing>
          <wp:anchor distT="0" distB="0" distL="114300" distR="114300" simplePos="0" relativeHeight="251658240" behindDoc="0" locked="0" layoutInCell="1" allowOverlap="1" wp14:anchorId="4704BAF7" wp14:editId="1D1B7E8C">
            <wp:simplePos x="0" y="0"/>
            <wp:positionH relativeFrom="column">
              <wp:posOffset>-413385</wp:posOffset>
            </wp:positionH>
            <wp:positionV relativeFrom="paragraph">
              <wp:posOffset>340995</wp:posOffset>
            </wp:positionV>
            <wp:extent cx="6885305" cy="2371725"/>
            <wp:effectExtent l="0" t="0" r="0" b="9525"/>
            <wp:wrapThrough wrapText="bothSides">
              <wp:wrapPolygon edited="0">
                <wp:start x="0" y="0"/>
                <wp:lineTo x="0" y="21513"/>
                <wp:lineTo x="21514" y="21513"/>
                <wp:lineTo x="21514" y="0"/>
                <wp:lineTo x="0"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rotWithShape="1">
                    <a:blip r:embed="rId8">
                      <a:extLst>
                        <a:ext uri="{28A0092B-C50C-407E-A947-70E740481C1C}">
                          <a14:useLocalDpi xmlns:a14="http://schemas.microsoft.com/office/drawing/2010/main" val="0"/>
                        </a:ext>
                      </a:extLst>
                    </a:blip>
                    <a:srcRect t="5439" r="4789"/>
                    <a:stretch/>
                  </pic:blipFill>
                  <pic:spPr bwMode="auto">
                    <a:xfrm>
                      <a:off x="0" y="0"/>
                      <a:ext cx="6885305" cy="23717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472A7">
        <w:rPr>
          <w:b/>
          <w:bCs/>
        </w:rPr>
        <w:t>Figure 3. Clients’ Ratings of IHW’s Physical Environment</w:t>
      </w:r>
    </w:p>
    <w:p w14:paraId="4165F657" w14:textId="400A7809" w:rsidR="00CA0A2C" w:rsidRDefault="00CA0A2C" w:rsidP="0066389D">
      <w:pPr>
        <w:spacing w:after="0" w:line="240" w:lineRule="auto"/>
        <w:ind w:left="360"/>
        <w:jc w:val="center"/>
      </w:pPr>
    </w:p>
    <w:p w14:paraId="40400744" w14:textId="21BE4236" w:rsidR="00B9148E" w:rsidRPr="00B9148E" w:rsidRDefault="00B9148E" w:rsidP="00B9148E">
      <w:pPr>
        <w:spacing w:after="0" w:line="240" w:lineRule="auto"/>
      </w:pPr>
      <w:r>
        <w:rPr>
          <w:i/>
          <w:iCs/>
          <w:u w:val="single"/>
        </w:rPr>
        <w:t>Physical Activity</w:t>
      </w:r>
      <w:r>
        <w:t>: A majority of clients (</w:t>
      </w:r>
      <w:r>
        <w:rPr>
          <w:i/>
          <w:iCs/>
        </w:rPr>
        <w:t>n</w:t>
      </w:r>
      <w:r>
        <w:t xml:space="preserve"> = 10, 71.4%) reported a desire to go outside more </w:t>
      </w:r>
      <w:proofErr w:type="gramStart"/>
      <w:r>
        <w:t>often, and</w:t>
      </w:r>
      <w:proofErr w:type="gramEnd"/>
      <w:r>
        <w:t xml:space="preserve"> reported feeling that they rarely (</w:t>
      </w:r>
      <w:r w:rsidRPr="00B9148E">
        <w:rPr>
          <w:i/>
          <w:iCs/>
        </w:rPr>
        <w:t>n</w:t>
      </w:r>
      <w:r>
        <w:t xml:space="preserve"> = 6, 42.9%) or never (</w:t>
      </w:r>
      <w:r w:rsidRPr="00B9148E">
        <w:rPr>
          <w:i/>
          <w:iCs/>
        </w:rPr>
        <w:t>n</w:t>
      </w:r>
      <w:r>
        <w:t xml:space="preserve"> = 4, 28.6%) get enough exercise.  Clients were asked to list the types of exercises they would like to participate in more.  See Figure 4 below for a word cloud; ideas that were more frequently mentioned by clients have bigger font sizes.</w:t>
      </w:r>
    </w:p>
    <w:p w14:paraId="4EF10138" w14:textId="2CC18A0C" w:rsidR="00B9148E" w:rsidRDefault="00B9148E" w:rsidP="00B9148E">
      <w:pPr>
        <w:spacing w:after="0" w:line="240" w:lineRule="auto"/>
      </w:pPr>
    </w:p>
    <w:p w14:paraId="17D9A97B" w14:textId="7949FE58" w:rsidR="00B9148E" w:rsidRDefault="00B9148E" w:rsidP="00B9148E">
      <w:pPr>
        <w:spacing w:after="0" w:line="240" w:lineRule="auto"/>
        <w:jc w:val="center"/>
        <w:rPr>
          <w:b/>
          <w:bCs/>
        </w:rPr>
      </w:pPr>
      <w:r>
        <w:rPr>
          <w:b/>
          <w:bCs/>
        </w:rPr>
        <w:t>Figure 4. Exercises that Clients Would Like to Participate in More</w:t>
      </w:r>
    </w:p>
    <w:p w14:paraId="26AF69BC" w14:textId="77777777" w:rsidR="00B9148E" w:rsidRPr="00B9148E" w:rsidRDefault="00B9148E" w:rsidP="00B9148E">
      <w:pPr>
        <w:spacing w:after="0" w:line="240" w:lineRule="auto"/>
        <w:jc w:val="center"/>
        <w:rPr>
          <w:b/>
          <w:bCs/>
        </w:rPr>
      </w:pPr>
    </w:p>
    <w:p w14:paraId="1EC88FDB" w14:textId="0F4394F6" w:rsidR="00B9148E" w:rsidRPr="00B9148E" w:rsidRDefault="00B9148E" w:rsidP="00B9148E">
      <w:pPr>
        <w:spacing w:after="0" w:line="240" w:lineRule="auto"/>
        <w:jc w:val="center"/>
      </w:pPr>
      <w:r>
        <w:rPr>
          <w:noProof/>
        </w:rPr>
        <w:drawing>
          <wp:inline distT="0" distB="0" distL="0" distR="0" wp14:anchorId="2EB65106" wp14:editId="28A60F27">
            <wp:extent cx="4045789" cy="2009495"/>
            <wp:effectExtent l="0" t="0" r="0" b="0"/>
            <wp:docPr id="8" name="Picture 6">
              <a:extLst xmlns:a="http://schemas.openxmlformats.org/drawingml/2006/main">
                <a:ext uri="{FF2B5EF4-FFF2-40B4-BE49-F238E27FC236}">
                  <a16:creationId xmlns:a16="http://schemas.microsoft.com/office/drawing/2014/main" id="{931ADC6A-F6EC-436F-9212-625925475F4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931ADC6A-F6EC-436F-9212-625925475F4C}"/>
                        </a:ext>
                      </a:extLst>
                    </pic:cNvPr>
                    <pic:cNvPicPr>
                      <a:picLocks noChangeAspect="1"/>
                    </pic:cNvPicPr>
                  </pic:nvPicPr>
                  <pic:blipFill rotWithShape="1">
                    <a:blip r:embed="rId9">
                      <a:extLst>
                        <a:ext uri="{BEBA8EAE-BF5A-486C-A8C5-ECC9F3942E4B}">
                          <a14:imgProps xmlns:a14="http://schemas.microsoft.com/office/drawing/2010/main">
                            <a14:imgLayer r:embed="rId10">
                              <a14:imgEffect>
                                <a14:brightnessContrast contrast="-40000"/>
                              </a14:imgEffect>
                            </a14:imgLayer>
                          </a14:imgProps>
                        </a:ext>
                        <a:ext uri="{28A0092B-C50C-407E-A947-70E740481C1C}">
                          <a14:useLocalDpi xmlns:a14="http://schemas.microsoft.com/office/drawing/2010/main" val="0"/>
                        </a:ext>
                      </a:extLst>
                    </a:blip>
                    <a:srcRect t="11305" r="4054" b="4181"/>
                    <a:stretch/>
                  </pic:blipFill>
                  <pic:spPr>
                    <a:xfrm>
                      <a:off x="0" y="0"/>
                      <a:ext cx="4120908" cy="2046806"/>
                    </a:xfrm>
                    <a:prstGeom prst="rect">
                      <a:avLst/>
                    </a:prstGeom>
                  </pic:spPr>
                </pic:pic>
              </a:graphicData>
            </a:graphic>
          </wp:inline>
        </w:drawing>
      </w:r>
    </w:p>
    <w:p w14:paraId="31ECBAEE" w14:textId="511132E1" w:rsidR="00B9148E" w:rsidRPr="00B9148E" w:rsidRDefault="00B9148E" w:rsidP="00B9148E">
      <w:pPr>
        <w:spacing w:after="0" w:line="240" w:lineRule="auto"/>
      </w:pPr>
    </w:p>
    <w:p w14:paraId="296D1A76" w14:textId="1C71DE6F" w:rsidR="0066389D" w:rsidRDefault="00B9148E" w:rsidP="00C05FFF">
      <w:pPr>
        <w:spacing w:after="0" w:line="240" w:lineRule="auto"/>
      </w:pPr>
      <w:r>
        <w:rPr>
          <w:i/>
          <w:iCs/>
          <w:u w:val="single"/>
        </w:rPr>
        <w:t>Social Relationships</w:t>
      </w:r>
      <w:r>
        <w:t xml:space="preserve">: </w:t>
      </w:r>
      <w:r w:rsidR="008714EF">
        <w:t>Half of the clients agreed that their relationships with other people, such as family members, friends, and people at IHW, have improved because of the program</w:t>
      </w:r>
      <w:r w:rsidR="00C05FFF">
        <w:t xml:space="preserve"> (</w:t>
      </w:r>
      <w:r w:rsidR="00C05FFF">
        <w:rPr>
          <w:i/>
          <w:iCs/>
        </w:rPr>
        <w:t>n</w:t>
      </w:r>
      <w:r w:rsidR="00C05FFF">
        <w:t xml:space="preserve"> = 7, 50.0%).  Almost half also reported that IHW staff encourage a sense of family or community in the program.  See Figure 5 below.</w:t>
      </w:r>
    </w:p>
    <w:p w14:paraId="576F0BAF" w14:textId="77777777" w:rsidR="00C05FFF" w:rsidRDefault="00C05FFF" w:rsidP="00C05FFF">
      <w:pPr>
        <w:spacing w:after="0" w:line="240" w:lineRule="auto"/>
      </w:pPr>
    </w:p>
    <w:p w14:paraId="6E337832" w14:textId="27B70FAE" w:rsidR="002966D1" w:rsidRPr="008714EF" w:rsidRDefault="008714EF" w:rsidP="002966D1">
      <w:pPr>
        <w:spacing w:after="0" w:line="240" w:lineRule="auto"/>
        <w:ind w:left="360"/>
        <w:jc w:val="center"/>
        <w:rPr>
          <w:b/>
          <w:bCs/>
        </w:rPr>
      </w:pPr>
      <w:r>
        <w:rPr>
          <w:b/>
          <w:bCs/>
        </w:rPr>
        <w:t xml:space="preserve">Figure 5. </w:t>
      </w:r>
      <w:r w:rsidR="00EF2A39">
        <w:rPr>
          <w:b/>
          <w:bCs/>
        </w:rPr>
        <w:t>Clients’ Reported Sense of Family or Community at IHW</w:t>
      </w:r>
    </w:p>
    <w:p w14:paraId="26484CF9" w14:textId="4296D824" w:rsidR="001066F2" w:rsidRDefault="001066F2" w:rsidP="00B23C89">
      <w:pPr>
        <w:spacing w:after="0" w:line="240" w:lineRule="auto"/>
        <w:ind w:left="360"/>
        <w:jc w:val="center"/>
      </w:pPr>
    </w:p>
    <w:p w14:paraId="3067A22E" w14:textId="7F71CC68" w:rsidR="00C05FFF" w:rsidRDefault="00C05FFF" w:rsidP="00B23C89">
      <w:pPr>
        <w:spacing w:after="0" w:line="240" w:lineRule="auto"/>
        <w:ind w:left="360"/>
        <w:jc w:val="center"/>
      </w:pPr>
      <w:r>
        <w:rPr>
          <w:noProof/>
        </w:rPr>
        <w:lastRenderedPageBreak/>
        <w:drawing>
          <wp:inline distT="0" distB="0" distL="0" distR="0" wp14:anchorId="4BBBBF52" wp14:editId="4E172C66">
            <wp:extent cx="4930160" cy="2027208"/>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t="13276"/>
                    <a:stretch/>
                  </pic:blipFill>
                  <pic:spPr bwMode="auto">
                    <a:xfrm>
                      <a:off x="0" y="0"/>
                      <a:ext cx="4982161" cy="2048590"/>
                    </a:xfrm>
                    <a:prstGeom prst="rect">
                      <a:avLst/>
                    </a:prstGeom>
                    <a:noFill/>
                    <a:ln>
                      <a:noFill/>
                    </a:ln>
                    <a:extLst>
                      <a:ext uri="{53640926-AAD7-44D8-BBD7-CCE9431645EC}">
                        <a14:shadowObscured xmlns:a14="http://schemas.microsoft.com/office/drawing/2010/main"/>
                      </a:ext>
                    </a:extLst>
                  </pic:spPr>
                </pic:pic>
              </a:graphicData>
            </a:graphic>
          </wp:inline>
        </w:drawing>
      </w:r>
    </w:p>
    <w:p w14:paraId="2E5B4BA5" w14:textId="77777777" w:rsidR="00C05FFF" w:rsidRDefault="00C05FFF" w:rsidP="00B23C89">
      <w:pPr>
        <w:spacing w:after="0" w:line="240" w:lineRule="auto"/>
        <w:ind w:left="360"/>
        <w:jc w:val="center"/>
      </w:pPr>
    </w:p>
    <w:p w14:paraId="74F1EC72" w14:textId="68BD2F05" w:rsidR="000B69B3" w:rsidRDefault="001066F2" w:rsidP="000B69B3">
      <w:pPr>
        <w:spacing w:after="0" w:line="240" w:lineRule="auto"/>
      </w:pPr>
      <w:r>
        <w:rPr>
          <w:i/>
          <w:iCs/>
          <w:u w:val="single"/>
        </w:rPr>
        <w:t>Treatment</w:t>
      </w:r>
      <w:r>
        <w:t>: Most clients agreed (</w:t>
      </w:r>
      <w:r>
        <w:rPr>
          <w:i/>
          <w:iCs/>
        </w:rPr>
        <w:t>n</w:t>
      </w:r>
      <w:r>
        <w:t xml:space="preserve"> = 2, 14.3%) or strongly agreed (</w:t>
      </w:r>
      <w:r>
        <w:rPr>
          <w:i/>
          <w:iCs/>
        </w:rPr>
        <w:t>n</w:t>
      </w:r>
      <w:r>
        <w:t xml:space="preserve"> = 7, 50.0%) that, once they leave the program, they will have the tools they need to be successful in their recovery.  Similarly, most clients </w:t>
      </w:r>
      <w:r w:rsidR="00DD54D6">
        <w:t>felt that</w:t>
      </w:r>
      <w:r>
        <w:t xml:space="preserve"> they have made progress towards their treatment program goals</w:t>
      </w:r>
      <w:r w:rsidR="00DD54D6">
        <w:t>; see Figure 6 below</w:t>
      </w:r>
      <w:r>
        <w:t>.</w:t>
      </w:r>
      <w:r w:rsidR="00EF2A39">
        <w:t xml:space="preserve">  Almost half of the clients agreed (</w:t>
      </w:r>
      <w:r w:rsidR="00EF2A39" w:rsidRPr="00EF2A39">
        <w:rPr>
          <w:i/>
          <w:iCs/>
        </w:rPr>
        <w:t>n</w:t>
      </w:r>
      <w:r w:rsidR="00EF2A39">
        <w:t xml:space="preserve"> = 4, 28.6%) </w:t>
      </w:r>
      <w:r w:rsidR="00EF2A39" w:rsidRPr="00EF2A39">
        <w:t>or</w:t>
      </w:r>
      <w:r w:rsidR="00EF2A39">
        <w:t xml:space="preserve"> strongly agreed (</w:t>
      </w:r>
      <w:r w:rsidR="00EF2A39" w:rsidRPr="00EF2A39">
        <w:rPr>
          <w:i/>
          <w:iCs/>
        </w:rPr>
        <w:t>n</w:t>
      </w:r>
      <w:r w:rsidR="00EF2A39">
        <w:t xml:space="preserve"> = 2, 14.3%) that their treatment is tailored to their individual needs.  </w:t>
      </w:r>
      <w:r w:rsidR="000B69B3" w:rsidRPr="00EF2A39">
        <w:t>Overall</w:t>
      </w:r>
      <w:r w:rsidR="000B69B3">
        <w:t>, nearly all clients agreed (</w:t>
      </w:r>
      <w:r w:rsidR="000B69B3">
        <w:rPr>
          <w:i/>
          <w:iCs/>
        </w:rPr>
        <w:t>n</w:t>
      </w:r>
      <w:r w:rsidR="000B69B3">
        <w:t xml:space="preserve"> = 6, 42.9%) or strongly agreed (</w:t>
      </w:r>
      <w:r w:rsidR="000B69B3">
        <w:rPr>
          <w:i/>
          <w:iCs/>
        </w:rPr>
        <w:t>n</w:t>
      </w:r>
      <w:r w:rsidR="000B69B3">
        <w:t xml:space="preserve"> = 6, 42.9%) that they trust the IHW care team to meet their treatment needs.</w:t>
      </w:r>
    </w:p>
    <w:p w14:paraId="5F29ECE2" w14:textId="5CD6C914" w:rsidR="00DD54D6" w:rsidRDefault="00DD54D6" w:rsidP="000B69B3">
      <w:pPr>
        <w:spacing w:after="0" w:line="240" w:lineRule="auto"/>
      </w:pPr>
    </w:p>
    <w:p w14:paraId="36ECF57C" w14:textId="5BCA6A50" w:rsidR="00DD54D6" w:rsidRDefault="00DD54D6" w:rsidP="00DD54D6">
      <w:pPr>
        <w:spacing w:after="0" w:line="240" w:lineRule="auto"/>
        <w:jc w:val="center"/>
        <w:rPr>
          <w:b/>
          <w:bCs/>
        </w:rPr>
      </w:pPr>
      <w:r>
        <w:rPr>
          <w:b/>
          <w:bCs/>
        </w:rPr>
        <w:t>Figure 6. Clients’ Agreement on Making Progress Towards Treatment Goals</w:t>
      </w:r>
    </w:p>
    <w:p w14:paraId="7F5D7463" w14:textId="77777777" w:rsidR="00DD54D6" w:rsidRPr="00DD54D6" w:rsidRDefault="00DD54D6" w:rsidP="00DD54D6">
      <w:pPr>
        <w:spacing w:after="0" w:line="240" w:lineRule="auto"/>
        <w:jc w:val="center"/>
        <w:rPr>
          <w:b/>
          <w:bCs/>
        </w:rPr>
      </w:pPr>
    </w:p>
    <w:p w14:paraId="78BEECF5" w14:textId="529BB418" w:rsidR="00DD54D6" w:rsidRPr="000B69B3" w:rsidRDefault="00DD54D6" w:rsidP="00DD54D6">
      <w:pPr>
        <w:spacing w:after="0" w:line="240" w:lineRule="auto"/>
        <w:jc w:val="center"/>
      </w:pPr>
      <w:r>
        <w:rPr>
          <w:noProof/>
        </w:rPr>
        <w:drawing>
          <wp:inline distT="0" distB="0" distL="0" distR="0" wp14:anchorId="02044C55" wp14:editId="4200C956">
            <wp:extent cx="3907236" cy="2261870"/>
            <wp:effectExtent l="0" t="0" r="0"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940864" cy="2281337"/>
                    </a:xfrm>
                    <a:prstGeom prst="rect">
                      <a:avLst/>
                    </a:prstGeom>
                    <a:noFill/>
                  </pic:spPr>
                </pic:pic>
              </a:graphicData>
            </a:graphic>
          </wp:inline>
        </w:drawing>
      </w:r>
    </w:p>
    <w:p w14:paraId="70A27CA9" w14:textId="77777777" w:rsidR="001066F2" w:rsidRDefault="001066F2" w:rsidP="000B69B3">
      <w:pPr>
        <w:spacing w:after="0" w:line="240" w:lineRule="auto"/>
      </w:pPr>
    </w:p>
    <w:p w14:paraId="5A2B152D" w14:textId="3F51FB4C" w:rsidR="001066F2" w:rsidRDefault="000B69B3" w:rsidP="00B23C89">
      <w:pPr>
        <w:spacing w:after="0" w:line="240" w:lineRule="auto"/>
      </w:pPr>
      <w:r>
        <w:t>Clients also shared positive ratings about IHW’s counselors</w:t>
      </w:r>
      <w:r w:rsidR="001066F2">
        <w:t>:</w:t>
      </w:r>
    </w:p>
    <w:p w14:paraId="1E927E10" w14:textId="3AFDBE38" w:rsidR="001066F2" w:rsidRDefault="00B23C89" w:rsidP="001066F2">
      <w:pPr>
        <w:spacing w:after="0" w:line="240" w:lineRule="auto"/>
        <w:ind w:left="360"/>
      </w:pPr>
      <w:r>
        <w:rPr>
          <w:noProof/>
        </w:rPr>
        <mc:AlternateContent>
          <mc:Choice Requires="wps">
            <w:drawing>
              <wp:anchor distT="45720" distB="45720" distL="114300" distR="114300" simplePos="0" relativeHeight="251664384" behindDoc="0" locked="0" layoutInCell="1" allowOverlap="1" wp14:anchorId="5A004C84" wp14:editId="48C94FB8">
                <wp:simplePos x="0" y="0"/>
                <wp:positionH relativeFrom="column">
                  <wp:posOffset>4165552</wp:posOffset>
                </wp:positionH>
                <wp:positionV relativeFrom="paragraph">
                  <wp:posOffset>127000</wp:posOffset>
                </wp:positionV>
                <wp:extent cx="1785620" cy="1423035"/>
                <wp:effectExtent l="0" t="0" r="5080" b="57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23035"/>
                        </a:xfrm>
                        <a:prstGeom prst="rect">
                          <a:avLst/>
                        </a:prstGeom>
                        <a:solidFill>
                          <a:srgbClr val="FFFFFF"/>
                        </a:solidFill>
                        <a:ln w="9525">
                          <a:noFill/>
                          <a:miter lim="800000"/>
                          <a:headEnd/>
                          <a:tailEnd/>
                        </a:ln>
                      </wps:spPr>
                      <wps:txbx>
                        <w:txbxContent>
                          <w:p w14:paraId="50C622A1" w14:textId="7AD31711" w:rsidR="00B23C89" w:rsidRPr="00B23C89" w:rsidRDefault="00B23C89" w:rsidP="00B23C89">
                            <w:pPr>
                              <w:spacing w:after="0" w:line="240" w:lineRule="auto"/>
                              <w:jc w:val="center"/>
                              <w:rPr>
                                <w:color w:val="12629D" w:themeColor="text2"/>
                                <w:sz w:val="40"/>
                                <w:szCs w:val="40"/>
                              </w:rPr>
                            </w:pPr>
                            <w:r>
                              <w:rPr>
                                <w:b/>
                                <w:bCs/>
                                <w:color w:val="12629D" w:themeColor="text2"/>
                                <w:sz w:val="40"/>
                                <w:szCs w:val="40"/>
                              </w:rPr>
                              <w:t>78.6</w:t>
                            </w:r>
                            <w:r w:rsidRPr="00B23C89">
                              <w:rPr>
                                <w:b/>
                                <w:bCs/>
                                <w:color w:val="12629D" w:themeColor="text2"/>
                                <w:sz w:val="40"/>
                                <w:szCs w:val="40"/>
                              </w:rPr>
                              <w:t>%</w:t>
                            </w:r>
                          </w:p>
                          <w:p w14:paraId="5C2B5154" w14:textId="2878273E" w:rsidR="00B23C89" w:rsidRDefault="00B23C89" w:rsidP="00B23C89">
                            <w:pPr>
                              <w:spacing w:after="0" w:line="240" w:lineRule="auto"/>
                              <w:jc w:val="center"/>
                            </w:pPr>
                            <w:r>
                              <w:t>agreed or strongly agreed (</w:t>
                            </w:r>
                            <w:r>
                              <w:rPr>
                                <w:i/>
                                <w:iCs/>
                              </w:rPr>
                              <w:t>n</w:t>
                            </w:r>
                            <w:r>
                              <w:t xml:space="preserve"> = 1</w:t>
                            </w:r>
                            <w:r>
                              <w:t>1</w:t>
                            </w:r>
                            <w:r>
                              <w:t xml:space="preserve">) that their counselor </w:t>
                            </w:r>
                            <w:r>
                              <w:t>is well organized and prepared for each counseling session</w:t>
                            </w:r>
                          </w:p>
                          <w:p w14:paraId="04DBF15D" w14:textId="77777777" w:rsidR="00B23C89" w:rsidRDefault="00B23C89" w:rsidP="00B23C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004C84" id="_x0000_t202" coordsize="21600,21600" o:spt="202" path="m,l,21600r21600,l21600,xe">
                <v:stroke joinstyle="miter"/>
                <v:path gradientshapeok="t" o:connecttype="rect"/>
              </v:shapetype>
              <v:shape id="Text Box 2" o:spid="_x0000_s1026" type="#_x0000_t202" style="position:absolute;left:0;text-align:left;margin-left:328pt;margin-top:10pt;width:140.6pt;height:112.05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" stroked="f">
                <v:textbox>
                  <w:txbxContent>
                    <w:p w14:paraId="50C622A1" w14:textId="7AD31711" w:rsidR="00B23C89" w:rsidRPr="00B23C89" w:rsidRDefault="00B23C89" w:rsidP="00B23C89">
                      <w:pPr>
                        <w:spacing w:after="0" w:line="240" w:lineRule="auto"/>
                        <w:jc w:val="center"/>
                        <w:rPr>
                          <w:color w:val="12629D" w:themeColor="text2"/>
                          <w:sz w:val="40"/>
                          <w:szCs w:val="40"/>
                        </w:rPr>
                      </w:pPr>
                      <w:r>
                        <w:rPr>
                          <w:b/>
                          <w:bCs/>
                          <w:color w:val="12629D" w:themeColor="text2"/>
                          <w:sz w:val="40"/>
                          <w:szCs w:val="40"/>
                        </w:rPr>
                        <w:t>78.6</w:t>
                      </w:r>
                      <w:r w:rsidRPr="00B23C89">
                        <w:rPr>
                          <w:b/>
                          <w:bCs/>
                          <w:color w:val="12629D" w:themeColor="text2"/>
                          <w:sz w:val="40"/>
                          <w:szCs w:val="40"/>
                        </w:rPr>
                        <w:t>%</w:t>
                      </w:r>
                    </w:p>
                    <w:p w14:paraId="5C2B5154" w14:textId="2878273E" w:rsidR="00B23C89" w:rsidRDefault="00B23C89" w:rsidP="00B23C89">
                      <w:pPr>
                        <w:spacing w:after="0" w:line="240" w:lineRule="auto"/>
                        <w:jc w:val="center"/>
                      </w:pPr>
                      <w:r>
                        <w:t>agreed or strongly agreed (</w:t>
                      </w:r>
                      <w:r>
                        <w:rPr>
                          <w:i/>
                          <w:iCs/>
                        </w:rPr>
                        <w:t>n</w:t>
                      </w:r>
                      <w:r>
                        <w:t xml:space="preserve"> = 1</w:t>
                      </w:r>
                      <w:r>
                        <w:t>1</w:t>
                      </w:r>
                      <w:r>
                        <w:t xml:space="preserve">) that their counselor </w:t>
                      </w:r>
                      <w:r>
                        <w:t>is well organized and prepared for each counseling session</w:t>
                      </w:r>
                    </w:p>
                    <w:p w14:paraId="04DBF15D" w14:textId="77777777" w:rsidR="00B23C89" w:rsidRDefault="00B23C89" w:rsidP="00B23C89"/>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5E1AB7E7" wp14:editId="13114C61">
                <wp:simplePos x="0" y="0"/>
                <wp:positionH relativeFrom="column">
                  <wp:posOffset>361950</wp:posOffset>
                </wp:positionH>
                <wp:positionV relativeFrom="paragraph">
                  <wp:posOffset>123825</wp:posOffset>
                </wp:positionV>
                <wp:extent cx="1854200" cy="1423035"/>
                <wp:effectExtent l="0" t="0" r="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200" cy="1423035"/>
                        </a:xfrm>
                        <a:prstGeom prst="rect">
                          <a:avLst/>
                        </a:prstGeom>
                        <a:solidFill>
                          <a:srgbClr val="FFFFFF"/>
                        </a:solidFill>
                        <a:ln w="9525">
                          <a:noFill/>
                          <a:miter lim="800000"/>
                          <a:headEnd/>
                          <a:tailEnd/>
                        </a:ln>
                      </wps:spPr>
                      <wps:txbx>
                        <w:txbxContent>
                          <w:p w14:paraId="21F3B674" w14:textId="6DBFA29E" w:rsidR="00B23C89" w:rsidRPr="00B23C89" w:rsidRDefault="00B23C89" w:rsidP="00B23C89">
                            <w:pPr>
                              <w:spacing w:after="0" w:line="240" w:lineRule="auto"/>
                              <w:jc w:val="center"/>
                              <w:rPr>
                                <w:color w:val="12629D" w:themeColor="text2"/>
                                <w:sz w:val="40"/>
                                <w:szCs w:val="40"/>
                              </w:rPr>
                            </w:pPr>
                            <w:r w:rsidRPr="00B23C89">
                              <w:rPr>
                                <w:b/>
                                <w:bCs/>
                                <w:color w:val="12629D" w:themeColor="text2"/>
                                <w:sz w:val="40"/>
                                <w:szCs w:val="40"/>
                              </w:rPr>
                              <w:t>7</w:t>
                            </w:r>
                            <w:r w:rsidRPr="00B23C89">
                              <w:rPr>
                                <w:b/>
                                <w:bCs/>
                                <w:color w:val="12629D" w:themeColor="text2"/>
                                <w:sz w:val="40"/>
                                <w:szCs w:val="40"/>
                              </w:rPr>
                              <w:t>1.4%</w:t>
                            </w:r>
                          </w:p>
                          <w:p w14:paraId="254762FE" w14:textId="3EAD622C" w:rsidR="00B23C89" w:rsidRDefault="00B23C89" w:rsidP="00B23C89">
                            <w:pPr>
                              <w:spacing w:after="0" w:line="240" w:lineRule="auto"/>
                              <w:jc w:val="center"/>
                            </w:pPr>
                            <w:r>
                              <w:t>agreed or strongly agreed</w:t>
                            </w:r>
                          </w:p>
                          <w:p w14:paraId="1DAB3E1C" w14:textId="42572C32" w:rsidR="00B23C89" w:rsidRDefault="00B23C89" w:rsidP="00B23C89">
                            <w:pPr>
                              <w:spacing w:after="0" w:line="240" w:lineRule="auto"/>
                              <w:jc w:val="center"/>
                            </w:pPr>
                            <w:r>
                              <w:t>(</w:t>
                            </w:r>
                            <w:r>
                              <w:rPr>
                                <w:i/>
                                <w:iCs/>
                              </w:rPr>
                              <w:t>n</w:t>
                            </w:r>
                            <w:r>
                              <w:t xml:space="preserve"> = 10) that their counselor uses a motivating and encouraging approach to help strengthen coping skills</w:t>
                            </w:r>
                          </w:p>
                          <w:p w14:paraId="56AD7265" w14:textId="712134CE" w:rsidR="00B23C89" w:rsidRDefault="00B23C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1AB7E7" id="_x0000_s1027" type="#_x0000_t202" style="position:absolute;left:0;text-align:left;margin-left:28.5pt;margin-top:9.75pt;width:146pt;height:112.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" stroked="f">
                <v:textbox>
                  <w:txbxContent>
                    <w:p w14:paraId="21F3B674" w14:textId="6DBFA29E" w:rsidR="00B23C89" w:rsidRPr="00B23C89" w:rsidRDefault="00B23C89" w:rsidP="00B23C89">
                      <w:pPr>
                        <w:spacing w:after="0" w:line="240" w:lineRule="auto"/>
                        <w:jc w:val="center"/>
                        <w:rPr>
                          <w:color w:val="12629D" w:themeColor="text2"/>
                          <w:sz w:val="40"/>
                          <w:szCs w:val="40"/>
                        </w:rPr>
                      </w:pPr>
                      <w:r w:rsidRPr="00B23C89">
                        <w:rPr>
                          <w:b/>
                          <w:bCs/>
                          <w:color w:val="12629D" w:themeColor="text2"/>
                          <w:sz w:val="40"/>
                          <w:szCs w:val="40"/>
                        </w:rPr>
                        <w:t>7</w:t>
                      </w:r>
                      <w:r w:rsidRPr="00B23C89">
                        <w:rPr>
                          <w:b/>
                          <w:bCs/>
                          <w:color w:val="12629D" w:themeColor="text2"/>
                          <w:sz w:val="40"/>
                          <w:szCs w:val="40"/>
                        </w:rPr>
                        <w:t>1.4%</w:t>
                      </w:r>
                    </w:p>
                    <w:p w14:paraId="254762FE" w14:textId="3EAD622C" w:rsidR="00B23C89" w:rsidRDefault="00B23C89" w:rsidP="00B23C89">
                      <w:pPr>
                        <w:spacing w:after="0" w:line="240" w:lineRule="auto"/>
                        <w:jc w:val="center"/>
                      </w:pPr>
                      <w:r>
                        <w:t>agreed or strongly agreed</w:t>
                      </w:r>
                    </w:p>
                    <w:p w14:paraId="1DAB3E1C" w14:textId="42572C32" w:rsidR="00B23C89" w:rsidRDefault="00B23C89" w:rsidP="00B23C89">
                      <w:pPr>
                        <w:spacing w:after="0" w:line="240" w:lineRule="auto"/>
                        <w:jc w:val="center"/>
                      </w:pPr>
                      <w:r>
                        <w:t>(</w:t>
                      </w:r>
                      <w:r>
                        <w:rPr>
                          <w:i/>
                          <w:iCs/>
                        </w:rPr>
                        <w:t>n</w:t>
                      </w:r>
                      <w:r>
                        <w:t xml:space="preserve"> = 10) that their counselor uses a motivating and encouraging approach to help strengthen coping skills</w:t>
                      </w:r>
                    </w:p>
                    <w:p w14:paraId="56AD7265" w14:textId="712134CE" w:rsidR="00B23C89" w:rsidRDefault="00B23C89"/>
                  </w:txbxContent>
                </v:textbox>
                <w10:wrap type="square"/>
              </v:shape>
            </w:pict>
          </mc:Fallback>
        </mc:AlternateContent>
      </w:r>
      <w:r>
        <w:rPr>
          <w:noProof/>
        </w:rPr>
        <mc:AlternateContent>
          <mc:Choice Requires="wps">
            <w:drawing>
              <wp:anchor distT="45720" distB="45720" distL="114300" distR="114300" simplePos="0" relativeHeight="251662336" behindDoc="0" locked="0" layoutInCell="1" allowOverlap="1" wp14:anchorId="0192FDB1" wp14:editId="409F7244">
                <wp:simplePos x="0" y="0"/>
                <wp:positionH relativeFrom="column">
                  <wp:posOffset>2294830</wp:posOffset>
                </wp:positionH>
                <wp:positionV relativeFrom="paragraph">
                  <wp:posOffset>129540</wp:posOffset>
                </wp:positionV>
                <wp:extent cx="1785620" cy="1423035"/>
                <wp:effectExtent l="0" t="0" r="5080" b="571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5620" cy="1423035"/>
                        </a:xfrm>
                        <a:prstGeom prst="rect">
                          <a:avLst/>
                        </a:prstGeom>
                        <a:solidFill>
                          <a:srgbClr val="FFFFFF"/>
                        </a:solidFill>
                        <a:ln w="9525">
                          <a:noFill/>
                          <a:miter lim="800000"/>
                          <a:headEnd/>
                          <a:tailEnd/>
                        </a:ln>
                      </wps:spPr>
                      <wps:txbx>
                        <w:txbxContent>
                          <w:p w14:paraId="7F0537D1" w14:textId="77777777" w:rsidR="00B23C89" w:rsidRPr="00B23C89" w:rsidRDefault="00B23C89" w:rsidP="00B23C89">
                            <w:pPr>
                              <w:spacing w:after="0" w:line="240" w:lineRule="auto"/>
                              <w:jc w:val="center"/>
                              <w:rPr>
                                <w:color w:val="12629D" w:themeColor="text2"/>
                                <w:sz w:val="40"/>
                                <w:szCs w:val="40"/>
                              </w:rPr>
                            </w:pPr>
                            <w:r w:rsidRPr="00B23C89">
                              <w:rPr>
                                <w:b/>
                                <w:bCs/>
                                <w:color w:val="12629D" w:themeColor="text2"/>
                                <w:sz w:val="40"/>
                                <w:szCs w:val="40"/>
                              </w:rPr>
                              <w:t>71.4%</w:t>
                            </w:r>
                          </w:p>
                          <w:p w14:paraId="2E49B9CD" w14:textId="3035216F" w:rsidR="00B23C89" w:rsidRDefault="00B23C89" w:rsidP="00B23C89">
                            <w:pPr>
                              <w:spacing w:after="0" w:line="240" w:lineRule="auto"/>
                              <w:jc w:val="center"/>
                            </w:pPr>
                            <w:r>
                              <w:t>agreed or strongly agreed (</w:t>
                            </w:r>
                            <w:r>
                              <w:rPr>
                                <w:i/>
                                <w:iCs/>
                              </w:rPr>
                              <w:t>n</w:t>
                            </w:r>
                            <w:r>
                              <w:t xml:space="preserve"> = 10) that their counselor </w:t>
                            </w:r>
                            <w:r>
                              <w:t>provides them with realistic and actionable feedback or advice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92FDB1" id="_x0000_s1028" type="#_x0000_t202" style="position:absolute;left:0;text-align:left;margin-left:180.7pt;margin-top:10.2pt;width:140.6pt;height:112.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" stroked="f">
                <v:textbox>
                  <w:txbxContent>
                    <w:p w14:paraId="7F0537D1" w14:textId="77777777" w:rsidR="00B23C89" w:rsidRPr="00B23C89" w:rsidRDefault="00B23C89" w:rsidP="00B23C89">
                      <w:pPr>
                        <w:spacing w:after="0" w:line="240" w:lineRule="auto"/>
                        <w:jc w:val="center"/>
                        <w:rPr>
                          <w:color w:val="12629D" w:themeColor="text2"/>
                          <w:sz w:val="40"/>
                          <w:szCs w:val="40"/>
                        </w:rPr>
                      </w:pPr>
                      <w:r w:rsidRPr="00B23C89">
                        <w:rPr>
                          <w:b/>
                          <w:bCs/>
                          <w:color w:val="12629D" w:themeColor="text2"/>
                          <w:sz w:val="40"/>
                          <w:szCs w:val="40"/>
                        </w:rPr>
                        <w:t>71.4%</w:t>
                      </w:r>
                    </w:p>
                    <w:p w14:paraId="2E49B9CD" w14:textId="3035216F" w:rsidR="00B23C89" w:rsidRDefault="00B23C89" w:rsidP="00B23C89">
                      <w:pPr>
                        <w:spacing w:after="0" w:line="240" w:lineRule="auto"/>
                        <w:jc w:val="center"/>
                      </w:pPr>
                      <w:r>
                        <w:t>agreed or strongly agreed (</w:t>
                      </w:r>
                      <w:r>
                        <w:rPr>
                          <w:i/>
                          <w:iCs/>
                        </w:rPr>
                        <w:t>n</w:t>
                      </w:r>
                      <w:r>
                        <w:t xml:space="preserve"> = 10) that their counselor </w:t>
                      </w:r>
                      <w:r>
                        <w:t>provides them with realistic and actionable feedback or advice</w:t>
                      </w:r>
                    </w:p>
                  </w:txbxContent>
                </v:textbox>
                <w10:wrap type="square"/>
              </v:shape>
            </w:pict>
          </mc:Fallback>
        </mc:AlternateContent>
      </w:r>
    </w:p>
    <w:p w14:paraId="43CF7227" w14:textId="6E042826" w:rsidR="00B23C89" w:rsidRDefault="00B23C89" w:rsidP="00B23C89">
      <w:pPr>
        <w:spacing w:after="0" w:line="240" w:lineRule="auto"/>
        <w:rPr>
          <w:b/>
          <w:bCs/>
          <w:color w:val="12629D" w:themeColor="text2"/>
        </w:rPr>
      </w:pPr>
    </w:p>
    <w:p w14:paraId="308536A3" w14:textId="018DD65F" w:rsidR="00B23C89" w:rsidRDefault="00B23C89" w:rsidP="00B23C89">
      <w:pPr>
        <w:spacing w:after="0" w:line="240" w:lineRule="auto"/>
        <w:rPr>
          <w:b/>
          <w:bCs/>
          <w:color w:val="12629D" w:themeColor="text2"/>
        </w:rPr>
      </w:pPr>
    </w:p>
    <w:p w14:paraId="3965B51B" w14:textId="0DE1A84D" w:rsidR="00B23C89" w:rsidRDefault="00B23C89" w:rsidP="00B23C89">
      <w:pPr>
        <w:spacing w:after="0" w:line="240" w:lineRule="auto"/>
        <w:rPr>
          <w:b/>
          <w:bCs/>
          <w:color w:val="12629D" w:themeColor="text2"/>
        </w:rPr>
      </w:pPr>
    </w:p>
    <w:p w14:paraId="25024899" w14:textId="63A7D904" w:rsidR="00B23C89" w:rsidRDefault="00B23C89" w:rsidP="00B23C89">
      <w:pPr>
        <w:spacing w:after="0" w:line="240" w:lineRule="auto"/>
        <w:rPr>
          <w:b/>
          <w:bCs/>
          <w:color w:val="12629D" w:themeColor="text2"/>
        </w:rPr>
      </w:pPr>
    </w:p>
    <w:p w14:paraId="393D5A93" w14:textId="01C8975E" w:rsidR="00B23C89" w:rsidRDefault="00B23C89" w:rsidP="00B23C89">
      <w:pPr>
        <w:spacing w:after="0" w:line="240" w:lineRule="auto"/>
        <w:rPr>
          <w:b/>
          <w:bCs/>
          <w:color w:val="12629D" w:themeColor="text2"/>
        </w:rPr>
      </w:pPr>
    </w:p>
    <w:p w14:paraId="07639C16" w14:textId="1367AE8C" w:rsidR="00B23C89" w:rsidRDefault="00B23C89" w:rsidP="00B23C89">
      <w:pPr>
        <w:spacing w:after="0" w:line="240" w:lineRule="auto"/>
        <w:rPr>
          <w:b/>
          <w:bCs/>
          <w:color w:val="12629D" w:themeColor="text2"/>
        </w:rPr>
      </w:pPr>
    </w:p>
    <w:p w14:paraId="0B9FDDF6" w14:textId="0F12D7F0" w:rsidR="00B23C89" w:rsidRDefault="00B23C89" w:rsidP="00B23C89">
      <w:pPr>
        <w:spacing w:after="0" w:line="240" w:lineRule="auto"/>
        <w:rPr>
          <w:b/>
          <w:bCs/>
          <w:color w:val="12629D" w:themeColor="text2"/>
        </w:rPr>
      </w:pPr>
    </w:p>
    <w:p w14:paraId="74AA3F9C" w14:textId="77777777" w:rsidR="00B23C89" w:rsidRDefault="00B23C89" w:rsidP="00B23C89">
      <w:pPr>
        <w:spacing w:after="0" w:line="240" w:lineRule="auto"/>
        <w:rPr>
          <w:b/>
          <w:bCs/>
          <w:color w:val="12629D" w:themeColor="text2"/>
        </w:rPr>
      </w:pPr>
    </w:p>
    <w:p w14:paraId="24D3B324" w14:textId="45C0E085" w:rsidR="00897755" w:rsidRPr="00563C85" w:rsidRDefault="00897755" w:rsidP="00897755">
      <w:pPr>
        <w:spacing w:after="0" w:line="240" w:lineRule="auto"/>
        <w:rPr>
          <w:iCs/>
        </w:rPr>
      </w:pPr>
      <w:r>
        <w:rPr>
          <w:i/>
          <w:iCs/>
          <w:u w:val="single"/>
        </w:rPr>
        <w:lastRenderedPageBreak/>
        <w:t>Childcare and Parenting</w:t>
      </w:r>
      <w:r>
        <w:t xml:space="preserve">: </w:t>
      </w:r>
      <w:r w:rsidR="0081735F">
        <w:t>An overwhelming number of clients felt supported as a parent at IHW; see Figure 7 below.  Most clients reported having received parenting education at IHW (</w:t>
      </w:r>
      <w:r w:rsidR="0081735F">
        <w:rPr>
          <w:i/>
          <w:iCs/>
        </w:rPr>
        <w:t>n</w:t>
      </w:r>
      <w:r w:rsidR="0081735F">
        <w:t xml:space="preserve"> = 10, 71.4%</w:t>
      </w:r>
      <w:r w:rsidR="00563C85">
        <w:t>), agreed (</w:t>
      </w:r>
      <w:r w:rsidR="00563C85">
        <w:rPr>
          <w:i/>
          <w:iCs/>
        </w:rPr>
        <w:t>n</w:t>
      </w:r>
      <w:r w:rsidR="00563C85">
        <w:t xml:space="preserve"> = 4, 28.6%) or strongly agreed (</w:t>
      </w:r>
      <w:r w:rsidR="00563C85">
        <w:rPr>
          <w:i/>
        </w:rPr>
        <w:t>n</w:t>
      </w:r>
      <w:r w:rsidR="00563C85">
        <w:rPr>
          <w:iCs/>
        </w:rPr>
        <w:t xml:space="preserve"> = 28.6%) that there were enough age-appropriate toys for their children, and agreed (</w:t>
      </w:r>
      <w:r w:rsidR="00563C85">
        <w:rPr>
          <w:i/>
        </w:rPr>
        <w:t>n</w:t>
      </w:r>
      <w:r w:rsidR="00563C85">
        <w:rPr>
          <w:iCs/>
        </w:rPr>
        <w:t xml:space="preserve"> = 4, 28.6%) or strongly agreed (</w:t>
      </w:r>
      <w:r w:rsidR="00563C85">
        <w:rPr>
          <w:i/>
        </w:rPr>
        <w:t>n</w:t>
      </w:r>
      <w:r w:rsidR="00563C85">
        <w:rPr>
          <w:iCs/>
        </w:rPr>
        <w:t xml:space="preserve"> = 6, 42.9%) that their children were getting the care and attention they needed at IHW.  Overall, clients agreed (</w:t>
      </w:r>
      <w:r w:rsidR="00563C85">
        <w:rPr>
          <w:i/>
        </w:rPr>
        <w:t>n</w:t>
      </w:r>
      <w:r w:rsidR="00563C85">
        <w:rPr>
          <w:iCs/>
        </w:rPr>
        <w:t xml:space="preserve"> = 1, 7.1%) or strongly agreed (</w:t>
      </w:r>
      <w:r w:rsidR="00563C85">
        <w:rPr>
          <w:i/>
        </w:rPr>
        <w:t>n</w:t>
      </w:r>
      <w:r w:rsidR="00563C85">
        <w:rPr>
          <w:iCs/>
        </w:rPr>
        <w:t xml:space="preserve"> = 6, 42.9%) that IHW staff does a good job taking care of their children, and agreed (</w:t>
      </w:r>
      <w:r w:rsidR="00563C85">
        <w:rPr>
          <w:i/>
        </w:rPr>
        <w:t>n</w:t>
      </w:r>
      <w:r w:rsidR="00563C85">
        <w:rPr>
          <w:iCs/>
        </w:rPr>
        <w:t xml:space="preserve"> = 4, 28.6%) or strongly agreed (</w:t>
      </w:r>
      <w:r w:rsidR="00563C85">
        <w:rPr>
          <w:i/>
        </w:rPr>
        <w:t>n</w:t>
      </w:r>
      <w:r w:rsidR="00563C85">
        <w:rPr>
          <w:iCs/>
        </w:rPr>
        <w:t xml:space="preserve"> = 5, 35.7%) that IHW staff are well-trained to take care of their children.</w:t>
      </w:r>
    </w:p>
    <w:p w14:paraId="5CC3FEDA" w14:textId="6614CBEE" w:rsidR="0081735F" w:rsidRDefault="0081735F" w:rsidP="00897755">
      <w:pPr>
        <w:spacing w:after="0" w:line="240" w:lineRule="auto"/>
      </w:pPr>
    </w:p>
    <w:p w14:paraId="46E06864" w14:textId="0F74C790" w:rsidR="0081735F" w:rsidRPr="0081735F" w:rsidRDefault="0081735F" w:rsidP="0081735F">
      <w:pPr>
        <w:spacing w:after="0" w:line="240" w:lineRule="auto"/>
        <w:jc w:val="center"/>
        <w:rPr>
          <w:b/>
          <w:bCs/>
        </w:rPr>
      </w:pPr>
      <w:r>
        <w:rPr>
          <w:b/>
          <w:bCs/>
        </w:rPr>
        <w:t>Figure 7. Clients’ Sense of Parenting Support at IHW</w:t>
      </w:r>
    </w:p>
    <w:p w14:paraId="2D6A49A1" w14:textId="1678021D" w:rsidR="00ED1051" w:rsidRDefault="00965D86" w:rsidP="00FB0D4B">
      <w:pPr>
        <w:spacing w:after="0" w:line="240" w:lineRule="auto"/>
        <w:ind w:left="360"/>
        <w:jc w:val="center"/>
      </w:pPr>
      <w:r>
        <w:rPr>
          <w:noProof/>
        </w:rPr>
        <w:drawing>
          <wp:inline distT="0" distB="0" distL="0" distR="0" wp14:anchorId="30409125" wp14:editId="604A0F5C">
            <wp:extent cx="2669659" cy="2147977"/>
            <wp:effectExtent l="0" t="0" r="0" b="508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13">
                      <a:extLst>
                        <a:ext uri="{28A0092B-C50C-407E-A947-70E740481C1C}">
                          <a14:useLocalDpi xmlns:a14="http://schemas.microsoft.com/office/drawing/2010/main" val="0"/>
                        </a:ext>
                      </a:extLst>
                    </a:blip>
                    <a:srcRect l="14430" t="10819" r="13812"/>
                    <a:stretch/>
                  </pic:blipFill>
                  <pic:spPr bwMode="auto">
                    <a:xfrm>
                      <a:off x="0" y="0"/>
                      <a:ext cx="2766366" cy="2225787"/>
                    </a:xfrm>
                    <a:prstGeom prst="rect">
                      <a:avLst/>
                    </a:prstGeom>
                    <a:noFill/>
                    <a:ln>
                      <a:noFill/>
                    </a:ln>
                    <a:extLst>
                      <a:ext uri="{53640926-AAD7-44D8-BBD7-CCE9431645EC}">
                        <a14:shadowObscured xmlns:a14="http://schemas.microsoft.com/office/drawing/2010/main"/>
                      </a:ext>
                    </a:extLst>
                  </pic:spPr>
                </pic:pic>
              </a:graphicData>
            </a:graphic>
          </wp:inline>
        </w:drawing>
      </w:r>
    </w:p>
    <w:p w14:paraId="09D6B31B" w14:textId="1BE294DF" w:rsidR="00546D98" w:rsidRDefault="00546D98" w:rsidP="00FB0D4B">
      <w:pPr>
        <w:spacing w:after="0" w:line="240" w:lineRule="auto"/>
        <w:ind w:left="360"/>
        <w:jc w:val="center"/>
      </w:pPr>
    </w:p>
    <w:p w14:paraId="18A96B26" w14:textId="63144F13" w:rsidR="00546D98" w:rsidRPr="0081735F" w:rsidRDefault="0081735F" w:rsidP="0081735F">
      <w:pPr>
        <w:spacing w:after="0" w:line="240" w:lineRule="auto"/>
      </w:pPr>
      <w:r>
        <w:rPr>
          <w:i/>
          <w:iCs/>
          <w:u w:val="single"/>
        </w:rPr>
        <w:t>IHW’s Programming</w:t>
      </w:r>
      <w:r w:rsidRPr="0081735F">
        <w:t xml:space="preserve">: </w:t>
      </w:r>
      <w:r>
        <w:t>Overall, clients reported satisfaction with the IHW program; see Figure 8 below.  Nearly half of the clients agreed (</w:t>
      </w:r>
      <w:r>
        <w:rPr>
          <w:i/>
          <w:iCs/>
        </w:rPr>
        <w:t>n</w:t>
      </w:r>
      <w:r>
        <w:t xml:space="preserve"> = 3, 21.4%) or strongly agreed (</w:t>
      </w:r>
      <w:r>
        <w:rPr>
          <w:i/>
          <w:iCs/>
        </w:rPr>
        <w:t>n</w:t>
      </w:r>
      <w:r>
        <w:t xml:space="preserve"> = 3, 21.4%) that the program is organized and run well.  Since the Year 2 needs assessments were conducted in the middle of the COVID-19 pandemic, clients were asked whether they felt IHW staff were doing a good job keeping them safe from COVID-19; most clients reported feeling usually </w:t>
      </w:r>
      <w:r w:rsidR="00563C85">
        <w:t>(</w:t>
      </w:r>
      <w:r w:rsidR="00563C85" w:rsidRPr="00563C85">
        <w:rPr>
          <w:i/>
          <w:iCs/>
        </w:rPr>
        <w:t>n</w:t>
      </w:r>
      <w:r w:rsidR="00563C85">
        <w:t xml:space="preserve"> = 7, 50.0%) </w:t>
      </w:r>
      <w:r>
        <w:t>or always</w:t>
      </w:r>
      <w:r w:rsidR="00563C85">
        <w:t xml:space="preserve"> (</w:t>
      </w:r>
      <w:r w:rsidR="00563C85" w:rsidRPr="00563C85">
        <w:rPr>
          <w:i/>
          <w:iCs/>
        </w:rPr>
        <w:t>n</w:t>
      </w:r>
      <w:r w:rsidR="00563C85">
        <w:t xml:space="preserve"> = 4, 28.6%) </w:t>
      </w:r>
      <w:r>
        <w:t>safe</w:t>
      </w:r>
      <w:r w:rsidR="00563C85">
        <w:t xml:space="preserve"> during this time.</w:t>
      </w:r>
    </w:p>
    <w:p w14:paraId="7D58E23C" w14:textId="55EC02F1" w:rsidR="0081735F" w:rsidRDefault="0081735F" w:rsidP="0081735F">
      <w:pPr>
        <w:spacing w:after="0" w:line="240" w:lineRule="auto"/>
      </w:pPr>
    </w:p>
    <w:p w14:paraId="5A39CE29" w14:textId="2F8B3942" w:rsidR="0081735F" w:rsidRDefault="0081735F" w:rsidP="0081735F">
      <w:pPr>
        <w:spacing w:after="0" w:line="240" w:lineRule="auto"/>
        <w:jc w:val="center"/>
        <w:rPr>
          <w:b/>
          <w:bCs/>
        </w:rPr>
      </w:pPr>
      <w:r>
        <w:rPr>
          <w:b/>
          <w:bCs/>
        </w:rPr>
        <w:t>Figure 8. Clients’ Satisfaction with the IHW Program</w:t>
      </w:r>
    </w:p>
    <w:p w14:paraId="0B206BED" w14:textId="77777777" w:rsidR="0081735F" w:rsidRPr="0081735F" w:rsidRDefault="0081735F" w:rsidP="0081735F">
      <w:pPr>
        <w:spacing w:after="0" w:line="240" w:lineRule="auto"/>
        <w:jc w:val="center"/>
      </w:pPr>
    </w:p>
    <w:p w14:paraId="59A24700" w14:textId="5E88298D" w:rsidR="005A1457" w:rsidRDefault="00965D86" w:rsidP="00FB0D4B">
      <w:pPr>
        <w:spacing w:after="0" w:line="240" w:lineRule="auto"/>
        <w:ind w:left="360"/>
        <w:jc w:val="center"/>
      </w:pPr>
      <w:r>
        <w:rPr>
          <w:noProof/>
        </w:rPr>
        <w:drawing>
          <wp:inline distT="0" distB="0" distL="0" distR="0" wp14:anchorId="574C005B" wp14:editId="5506BCD1">
            <wp:extent cx="4575256" cy="2544205"/>
            <wp:effectExtent l="0" t="0" r="0" b="889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14">
                      <a:extLst>
                        <a:ext uri="{28A0092B-C50C-407E-A947-70E740481C1C}">
                          <a14:useLocalDpi xmlns:a14="http://schemas.microsoft.com/office/drawing/2010/main" val="0"/>
                        </a:ext>
                      </a:extLst>
                    </a:blip>
                    <a:srcRect t="8671"/>
                    <a:stretch/>
                  </pic:blipFill>
                  <pic:spPr bwMode="auto">
                    <a:xfrm>
                      <a:off x="0" y="0"/>
                      <a:ext cx="4625408" cy="2572093"/>
                    </a:xfrm>
                    <a:prstGeom prst="rect">
                      <a:avLst/>
                    </a:prstGeom>
                    <a:noFill/>
                    <a:ln>
                      <a:noFill/>
                    </a:ln>
                    <a:extLst>
                      <a:ext uri="{53640926-AAD7-44D8-BBD7-CCE9431645EC}">
                        <a14:shadowObscured xmlns:a14="http://schemas.microsoft.com/office/drawing/2010/main"/>
                      </a:ext>
                    </a:extLst>
                  </pic:spPr>
                </pic:pic>
              </a:graphicData>
            </a:graphic>
          </wp:inline>
        </w:drawing>
      </w:r>
    </w:p>
    <w:p w14:paraId="6422F11E" w14:textId="2B88EBA9" w:rsidR="00ED1051" w:rsidRDefault="00ED1051" w:rsidP="00ED1051">
      <w:pPr>
        <w:spacing w:after="0" w:line="240" w:lineRule="auto"/>
      </w:pPr>
    </w:p>
    <w:p w14:paraId="3EC56B1E" w14:textId="51D6594F" w:rsidR="00ED1051" w:rsidRDefault="00ED1051" w:rsidP="00ED1051">
      <w:pPr>
        <w:spacing w:after="0" w:line="240" w:lineRule="auto"/>
      </w:pPr>
      <w:r>
        <w:rPr>
          <w:b/>
          <w:bCs/>
          <w:i/>
          <w:iCs/>
        </w:rPr>
        <w:lastRenderedPageBreak/>
        <w:t>Year 3 Needs Assessments.</w:t>
      </w:r>
      <w:r>
        <w:t xml:space="preserve"> During this reporting period, the evaluation team conducted the annual needs assessments with both IHW staff and clients</w:t>
      </w:r>
    </w:p>
    <w:p w14:paraId="0F4692CB" w14:textId="77777777" w:rsidR="00ED1051" w:rsidRDefault="00ED1051" w:rsidP="00ED1051">
      <w:pPr>
        <w:spacing w:after="0" w:line="240" w:lineRule="auto"/>
      </w:pPr>
    </w:p>
    <w:p w14:paraId="217A2C5F" w14:textId="7220BE84" w:rsidR="00ED1051" w:rsidRDefault="00ED1051" w:rsidP="00ED1051">
      <w:pPr>
        <w:spacing w:after="0" w:line="240" w:lineRule="auto"/>
        <w:ind w:left="360"/>
      </w:pPr>
      <w:r>
        <w:rPr>
          <w:i/>
          <w:iCs/>
          <w:u w:val="single"/>
        </w:rPr>
        <w:t>Staff Needs Assessments:</w:t>
      </w:r>
      <w:r>
        <w:t xml:space="preserve"> The evaluation team developed paper surveys that included questions on program facilities and resources, work culture, training needs, and the Family Resilience Project.  The Lead Evaluator distributed the paper surveys on-site.  The surveys were accompanied by a cover sheet that emphasized the importance and confidentiality of staff’s responses.  The Lead Evaluator collected paper surveys from staff the same day.  For staff who were not available at that time, the Lead Evaluator left paper surveys that staff later completed and anonymously put in envelopes, which were then picked up by evaluation staff.</w:t>
      </w:r>
    </w:p>
    <w:p w14:paraId="6704FBF2" w14:textId="77777777" w:rsidR="00ED1051" w:rsidRDefault="00ED1051" w:rsidP="00ED1051">
      <w:pPr>
        <w:tabs>
          <w:tab w:val="left" w:pos="1021"/>
        </w:tabs>
        <w:spacing w:after="0" w:line="240" w:lineRule="auto"/>
        <w:ind w:left="360"/>
      </w:pPr>
      <w:r>
        <w:tab/>
      </w:r>
    </w:p>
    <w:p w14:paraId="45425F09" w14:textId="125004B2" w:rsidR="00ED1051" w:rsidRPr="00AD5305" w:rsidRDefault="00ED1051" w:rsidP="00ED1051">
      <w:pPr>
        <w:spacing w:after="0" w:line="240" w:lineRule="auto"/>
        <w:ind w:left="360"/>
      </w:pPr>
      <w:r>
        <w:rPr>
          <w:i/>
          <w:iCs/>
          <w:u w:val="single"/>
        </w:rPr>
        <w:t>Client Needs Assessments:</w:t>
      </w:r>
      <w:r>
        <w:t xml:space="preserve"> Similarly, clients were asked to complete paper surveys that included questions on program facilities and environment, treatment services, parenting support, relationship with staff, family member engagement, and IHW’s response to the COVID-19 pandemic.  Clients with young children or who had been or were currently pregnant during their IHW stay were asked to complete a supplemental survey that asked about childcare services and pre- and post-natal care.  The Lead Evaluator explained the rationale for the </w:t>
      </w:r>
      <w:proofErr w:type="gramStart"/>
      <w:r>
        <w:t>needs</w:t>
      </w:r>
      <w:proofErr w:type="gramEnd"/>
      <w:r>
        <w:t xml:space="preserve"> assessment, how clients’ responses will be used to strengthen the program for future clients, and the confidentiality of all responses.  The Lead Evaluator and Interviewer collected paper surveys from on-site clients.  In subsequent visits, the Lead Evaluator and Interviewer completed additional needs assessments with clients who had been unavailable initially.</w:t>
      </w:r>
    </w:p>
    <w:p w14:paraId="1E44BA3B" w14:textId="77777777" w:rsidR="00ED1051" w:rsidRDefault="00ED1051" w:rsidP="00ED1051">
      <w:pPr>
        <w:spacing w:after="0" w:line="240" w:lineRule="auto"/>
      </w:pPr>
    </w:p>
    <w:p w14:paraId="2437E485" w14:textId="7040699E" w:rsidR="00ED1051" w:rsidRPr="00ED1051" w:rsidRDefault="00ED1051" w:rsidP="00ED1051">
      <w:pPr>
        <w:spacing w:after="0" w:line="240" w:lineRule="auto"/>
      </w:pPr>
      <w:r>
        <w:t>All paper surveys will be entered into a database for future analyses.  Findings and recommendations from the Year 3 needs assessments will be shared with IHW staff to improve IHW’s program and reported in the next annual report.</w:t>
      </w:r>
    </w:p>
    <w:sectPr w:rsidR="00ED1051" w:rsidRPr="00ED1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E4D95"/>
    <w:multiLevelType w:val="hybridMultilevel"/>
    <w:tmpl w:val="1A18925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7E6749"/>
    <w:multiLevelType w:val="hybridMultilevel"/>
    <w:tmpl w:val="3CB080F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D552110"/>
    <w:multiLevelType w:val="hybridMultilevel"/>
    <w:tmpl w:val="CA1072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4369A0"/>
    <w:multiLevelType w:val="hybridMultilevel"/>
    <w:tmpl w:val="CD282C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9476DB5"/>
    <w:multiLevelType w:val="hybridMultilevel"/>
    <w:tmpl w:val="1D62B5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1B5"/>
    <w:rsid w:val="00066743"/>
    <w:rsid w:val="000A31B5"/>
    <w:rsid w:val="000B69B3"/>
    <w:rsid w:val="00100FBB"/>
    <w:rsid w:val="001066F2"/>
    <w:rsid w:val="001332F3"/>
    <w:rsid w:val="00144171"/>
    <w:rsid w:val="00187BE2"/>
    <w:rsid w:val="001E4558"/>
    <w:rsid w:val="00206732"/>
    <w:rsid w:val="00222E10"/>
    <w:rsid w:val="002966D1"/>
    <w:rsid w:val="002B72A7"/>
    <w:rsid w:val="002C34E0"/>
    <w:rsid w:val="00300C67"/>
    <w:rsid w:val="0035273E"/>
    <w:rsid w:val="00367E92"/>
    <w:rsid w:val="003818FD"/>
    <w:rsid w:val="004C01C1"/>
    <w:rsid w:val="00546D98"/>
    <w:rsid w:val="00553354"/>
    <w:rsid w:val="00563C85"/>
    <w:rsid w:val="00570573"/>
    <w:rsid w:val="005A1457"/>
    <w:rsid w:val="00611274"/>
    <w:rsid w:val="00623062"/>
    <w:rsid w:val="0066389D"/>
    <w:rsid w:val="006C0600"/>
    <w:rsid w:val="006D1D7A"/>
    <w:rsid w:val="006E37A5"/>
    <w:rsid w:val="006E77F1"/>
    <w:rsid w:val="007472A7"/>
    <w:rsid w:val="007B184A"/>
    <w:rsid w:val="007F1AFB"/>
    <w:rsid w:val="0081735F"/>
    <w:rsid w:val="008714EF"/>
    <w:rsid w:val="00875ABD"/>
    <w:rsid w:val="00897755"/>
    <w:rsid w:val="009348FF"/>
    <w:rsid w:val="00965D86"/>
    <w:rsid w:val="009F69B6"/>
    <w:rsid w:val="00A3166E"/>
    <w:rsid w:val="00AE7438"/>
    <w:rsid w:val="00B06B92"/>
    <w:rsid w:val="00B1257B"/>
    <w:rsid w:val="00B14FF3"/>
    <w:rsid w:val="00B23C89"/>
    <w:rsid w:val="00B34F02"/>
    <w:rsid w:val="00B9148E"/>
    <w:rsid w:val="00BD4F43"/>
    <w:rsid w:val="00C05FFF"/>
    <w:rsid w:val="00C4658B"/>
    <w:rsid w:val="00C530EC"/>
    <w:rsid w:val="00CA0A2C"/>
    <w:rsid w:val="00CC4417"/>
    <w:rsid w:val="00D26A42"/>
    <w:rsid w:val="00D97279"/>
    <w:rsid w:val="00DB3F27"/>
    <w:rsid w:val="00DD54D6"/>
    <w:rsid w:val="00EA1368"/>
    <w:rsid w:val="00ED1051"/>
    <w:rsid w:val="00ED280A"/>
    <w:rsid w:val="00EF2A39"/>
    <w:rsid w:val="00F0232D"/>
    <w:rsid w:val="00F10F4D"/>
    <w:rsid w:val="00F3287D"/>
    <w:rsid w:val="00FB0D4B"/>
    <w:rsid w:val="00FD7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7E4C3A85"/>
  <w15:chartTrackingRefBased/>
  <w15:docId w15:val="{1E7AF219-4F5D-4581-870B-A2E8B9F1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45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105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R&amp;E">
      <a:dk1>
        <a:sysClr val="windowText" lastClr="000000"/>
      </a:dk1>
      <a:lt1>
        <a:sysClr val="window" lastClr="FFFFFF"/>
      </a:lt1>
      <a:dk2>
        <a:srgbClr val="12629D"/>
      </a:dk2>
      <a:lt2>
        <a:srgbClr val="627D77"/>
      </a:lt2>
      <a:accent1>
        <a:srgbClr val="B7C68B"/>
      </a:accent1>
      <a:accent2>
        <a:srgbClr val="E18A07"/>
      </a:accent2>
      <a:accent3>
        <a:srgbClr val="D1D1D1"/>
      </a:accent3>
      <a:accent4>
        <a:srgbClr val="005969"/>
      </a:accent4>
      <a:accent5>
        <a:srgbClr val="71002F"/>
      </a:accent5>
      <a:accent6>
        <a:srgbClr val="9C893A"/>
      </a:accent6>
      <a:hlink>
        <a:srgbClr val="005969"/>
      </a:hlink>
      <a:folHlink>
        <a:srgbClr val="71002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20DBB-792B-4DC8-851B-F85AFCEDF4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9</Pages>
  <Words>2299</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Choi</dc:creator>
  <cp:keywords/>
  <dc:description/>
  <cp:lastModifiedBy>Esther Choi</cp:lastModifiedBy>
  <cp:revision>43</cp:revision>
  <dcterms:created xsi:type="dcterms:W3CDTF">2021-11-01T16:38:00Z</dcterms:created>
  <dcterms:modified xsi:type="dcterms:W3CDTF">2021-12-02T15:30:00Z</dcterms:modified>
</cp:coreProperties>
</file>